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63D0E" w:rsidR="00BC3A67" w:rsidP="00036E1F" w:rsidRDefault="00BC3A67" w14:paraId="7D17E32E" w14:textId="77777777">
      <w:pPr>
        <w:spacing w:line="360" w:lineRule="auto"/>
        <w:jc w:val="center"/>
        <w:rPr>
          <w:rFonts w:ascii="Times New Roman" w:hAnsi="Times New Roman" w:cs="Times New Roman"/>
          <w:b/>
          <w:bCs/>
        </w:rPr>
      </w:pPr>
      <w:r w:rsidRPr="00163D0E">
        <w:rPr>
          <w:rFonts w:ascii="Times New Roman" w:hAnsi="Times New Roman" w:cs="Times New Roman"/>
          <w:b/>
          <w:bCs/>
        </w:rPr>
        <w:t>THE BLACKPOOL COUNCIL (MULTIVERSITY) COMPULSORY PURCHASE ORDER 2024</w:t>
      </w:r>
    </w:p>
    <w:p w:rsidRPr="00163D0E" w:rsidR="00BC3A67" w:rsidP="00036E1F" w:rsidRDefault="00BC3A67" w14:paraId="18734C1B" w14:textId="1CB49E5E">
      <w:pPr>
        <w:spacing w:line="360" w:lineRule="auto"/>
        <w:jc w:val="center"/>
        <w:rPr>
          <w:rFonts w:ascii="Times New Roman" w:hAnsi="Times New Roman" w:cs="Times New Roman"/>
          <w:b/>
          <w:bCs/>
          <w:u w:val="single"/>
        </w:rPr>
      </w:pPr>
      <w:r w:rsidRPr="00163D0E">
        <w:rPr>
          <w:rFonts w:ascii="Times New Roman" w:hAnsi="Times New Roman" w:cs="Times New Roman"/>
          <w:b/>
          <w:bCs/>
          <w:u w:val="single"/>
        </w:rPr>
        <w:t>CLOSING SUBMISSIONS</w:t>
      </w:r>
    </w:p>
    <w:p w:rsidRPr="00163D0E" w:rsidR="00BC3A67" w:rsidP="00036E1F" w:rsidRDefault="00BC3A67" w14:paraId="1A3B6CF8" w14:textId="77777777">
      <w:pPr>
        <w:spacing w:line="360" w:lineRule="auto"/>
        <w:jc w:val="center"/>
        <w:rPr>
          <w:rFonts w:ascii="Times New Roman" w:hAnsi="Times New Roman" w:cs="Times New Roman"/>
          <w:b/>
          <w:bCs/>
          <w:u w:val="single"/>
        </w:rPr>
      </w:pPr>
      <w:r w:rsidRPr="00163D0E">
        <w:rPr>
          <w:rFonts w:ascii="Times New Roman" w:hAnsi="Times New Roman" w:cs="Times New Roman"/>
          <w:b/>
          <w:bCs/>
          <w:u w:val="single"/>
        </w:rPr>
        <w:t>ON BEHALF OF BLACKPOOL BOROUGH COUNCIL (THE ACQUIRING AUTHORITY)</w:t>
      </w:r>
    </w:p>
    <w:p w:rsidRPr="00163D0E" w:rsidR="00BC3A67" w:rsidP="00036E1F" w:rsidRDefault="00BC3A67" w14:paraId="1403E9ED" w14:textId="77777777">
      <w:pPr>
        <w:spacing w:line="360" w:lineRule="auto"/>
        <w:jc w:val="center"/>
        <w:rPr>
          <w:rFonts w:ascii="Times New Roman" w:hAnsi="Times New Roman" w:cs="Times New Roman"/>
          <w:b/>
          <w:bCs/>
          <w:u w:val="single"/>
        </w:rPr>
      </w:pPr>
    </w:p>
    <w:p w:rsidRPr="00163D0E" w:rsidR="00BC3A67" w:rsidP="00036E1F" w:rsidRDefault="00BC3A67" w14:paraId="46E8C03E" w14:textId="19D834C3">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Blackpool Borough Council (Multiversity) Compulsory Purchase Order 2024 (“the CPO”) has been made by</w:t>
      </w:r>
      <w:r w:rsidRPr="00163D0E" w:rsidR="00036E1F">
        <w:rPr>
          <w:rFonts w:ascii="Times New Roman" w:hAnsi="Times New Roman" w:cs="Times New Roman"/>
        </w:rPr>
        <w:t xml:space="preserve"> the Acquiring Authority,</w:t>
      </w:r>
      <w:r w:rsidRPr="00163D0E">
        <w:rPr>
          <w:rFonts w:ascii="Times New Roman" w:hAnsi="Times New Roman" w:cs="Times New Roman"/>
        </w:rPr>
        <w:t xml:space="preserve"> Blackpool Borough Council (“the Council”) pursuant to s226 (1) (a) of the Town and Country Planning Act 1990 (“TCPA”) to purchase the Order land for the purpose of bringing forward the Multiversity scheme on the site. The Multiversity scheme is, in summary, an education – led development comprising a new higher education campus building, together with further education floorspace and/or commercial / research and development floorspace and associated and ancillary uses, the creation of new public realm with associated landscaping, highway works, and associated works. </w:t>
      </w:r>
    </w:p>
    <w:p w:rsidRPr="00163D0E" w:rsidR="00BC3A67" w:rsidP="00036E1F" w:rsidRDefault="00BC3A67" w14:paraId="46CCE7C0" w14:textId="77777777">
      <w:pPr>
        <w:pStyle w:val="ListParagraph"/>
        <w:spacing w:line="360" w:lineRule="auto"/>
        <w:rPr>
          <w:rFonts w:ascii="Times New Roman" w:hAnsi="Times New Roman" w:cs="Times New Roman"/>
        </w:rPr>
      </w:pPr>
    </w:p>
    <w:p w:rsidRPr="00163D0E" w:rsidR="00BC3A67" w:rsidP="00036E1F" w:rsidRDefault="00BC3A67" w14:paraId="6A23E6C2" w14:textId="2C4D1582">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As the </w:t>
      </w:r>
      <w:r w:rsidRPr="00163D0E" w:rsidR="00036E1F">
        <w:rPr>
          <w:rFonts w:ascii="Times New Roman" w:hAnsi="Times New Roman" w:cs="Times New Roman"/>
        </w:rPr>
        <w:t>Council</w:t>
      </w:r>
      <w:r w:rsidRPr="00163D0E">
        <w:rPr>
          <w:rFonts w:ascii="Times New Roman" w:hAnsi="Times New Roman" w:cs="Times New Roman"/>
        </w:rPr>
        <w:t xml:space="preserve"> set out in opening, the Multiversity project is critical to the continued success of the Council’s regeneration programme in Blackpool, is underpinned by extensive public sector funding and commitment, and will deliver clear and significant economic, social and environmental benefits to the town and the people of Blackpool. It will transform the Order Land, which is located within an area in need of regeneration.</w:t>
      </w:r>
    </w:p>
    <w:p w:rsidRPr="00163D0E" w:rsidR="00BC3A67" w:rsidP="00036E1F" w:rsidRDefault="00BC3A67" w14:paraId="1CF7A9E0" w14:textId="77777777">
      <w:pPr>
        <w:pStyle w:val="ListParagraph"/>
        <w:spacing w:line="360" w:lineRule="auto"/>
        <w:rPr>
          <w:rFonts w:ascii="Times New Roman" w:hAnsi="Times New Roman" w:cs="Times New Roman"/>
        </w:rPr>
      </w:pPr>
    </w:p>
    <w:p w:rsidRPr="00163D0E" w:rsidR="00BC3A67" w:rsidP="00036E1F" w:rsidRDefault="00BC3A67" w14:paraId="335E2E2F" w14:textId="36138E34">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Council is firmly of the view that there is a compelling public interest in favour of confirmation of the Compulsory Purchase Order </w:t>
      </w:r>
      <w:r w:rsidRPr="00163D0E" w:rsidR="00EF5932">
        <w:rPr>
          <w:rFonts w:ascii="Times New Roman" w:hAnsi="Times New Roman" w:cs="Times New Roman"/>
        </w:rPr>
        <w:t xml:space="preserve">in its entirety </w:t>
      </w:r>
      <w:r w:rsidRPr="00163D0E">
        <w:rPr>
          <w:rFonts w:ascii="Times New Roman" w:hAnsi="Times New Roman" w:cs="Times New Roman"/>
        </w:rPr>
        <w:t>for the reasons set out in full in its evidence</w:t>
      </w:r>
      <w:r w:rsidRPr="00163D0E" w:rsidR="00CE11AF">
        <w:rPr>
          <w:rFonts w:ascii="Times New Roman" w:hAnsi="Times New Roman" w:cs="Times New Roman"/>
        </w:rPr>
        <w:t xml:space="preserve"> and below</w:t>
      </w:r>
      <w:r w:rsidRPr="00163D0E">
        <w:rPr>
          <w:rFonts w:ascii="Times New Roman" w:hAnsi="Times New Roman" w:cs="Times New Roman"/>
        </w:rPr>
        <w:t xml:space="preserve">. </w:t>
      </w:r>
    </w:p>
    <w:p w:rsidRPr="00163D0E" w:rsidR="00BC3A67" w:rsidP="00036E1F" w:rsidRDefault="00BC3A67" w14:paraId="3F1E8BA1" w14:textId="77777777">
      <w:pPr>
        <w:pStyle w:val="ListParagraph"/>
        <w:spacing w:line="360" w:lineRule="auto"/>
        <w:rPr>
          <w:rFonts w:ascii="Times New Roman" w:hAnsi="Times New Roman" w:cs="Times New Roman"/>
        </w:rPr>
      </w:pPr>
    </w:p>
    <w:p w:rsidRPr="00163D0E" w:rsidR="00BC3A67" w:rsidP="00036E1F" w:rsidRDefault="00147617" w14:paraId="6CC394EE" w14:textId="70C14200">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w:t>
      </w:r>
      <w:r w:rsidRPr="00163D0E" w:rsidR="00BC3A67">
        <w:rPr>
          <w:rFonts w:ascii="Times New Roman" w:hAnsi="Times New Roman" w:cs="Times New Roman"/>
        </w:rPr>
        <w:t xml:space="preserve"> Guidance on the Compulsory Purchase Process (“the Guidance”) set</w:t>
      </w:r>
      <w:r w:rsidRPr="00163D0E" w:rsidR="00EF5932">
        <w:rPr>
          <w:rFonts w:ascii="Times New Roman" w:hAnsi="Times New Roman" w:cs="Times New Roman"/>
        </w:rPr>
        <w:t>s</w:t>
      </w:r>
      <w:r w:rsidRPr="00163D0E" w:rsidR="00BC3A67">
        <w:rPr>
          <w:rFonts w:ascii="Times New Roman" w:hAnsi="Times New Roman" w:cs="Times New Roman"/>
        </w:rPr>
        <w:t xml:space="preserve"> out </w:t>
      </w:r>
      <w:proofErr w:type="gramStart"/>
      <w:r w:rsidRPr="00163D0E" w:rsidR="00BC3A67">
        <w:rPr>
          <w:rFonts w:ascii="Times New Roman" w:hAnsi="Times New Roman" w:cs="Times New Roman"/>
        </w:rPr>
        <w:t>a number of</w:t>
      </w:r>
      <w:proofErr w:type="gramEnd"/>
      <w:r w:rsidRPr="00163D0E" w:rsidR="00BC3A67">
        <w:rPr>
          <w:rFonts w:ascii="Times New Roman" w:hAnsi="Times New Roman" w:cs="Times New Roman"/>
        </w:rPr>
        <w:t xml:space="preserve"> factors that the Confirming Authority can be expected to consider in determining whether the CPO should be confirmed. These closing submissions address and summarise the key points arising from the Council’s evidence in that context.</w:t>
      </w:r>
    </w:p>
    <w:p w:rsidRPr="00163D0E" w:rsidR="00BC3A67" w:rsidP="00036E1F" w:rsidRDefault="00BC3A67" w14:paraId="5DF50CC4" w14:textId="77777777">
      <w:pPr>
        <w:pStyle w:val="ListParagraph"/>
        <w:spacing w:line="360" w:lineRule="auto"/>
        <w:rPr>
          <w:rFonts w:ascii="Times New Roman" w:hAnsi="Times New Roman" w:cs="Times New Roman"/>
        </w:rPr>
      </w:pPr>
    </w:p>
    <w:p w:rsidRPr="00163D0E" w:rsidR="00BC3A67" w:rsidP="00036E1F" w:rsidRDefault="00BC3A67" w14:paraId="0403EC5C" w14:textId="3EBE6D05">
      <w:pPr>
        <w:pStyle w:val="ListParagraph"/>
        <w:numPr>
          <w:ilvl w:val="0"/>
          <w:numId w:val="9"/>
        </w:numPr>
        <w:spacing w:line="360" w:lineRule="auto"/>
        <w:rPr>
          <w:rFonts w:ascii="Times New Roman" w:hAnsi="Times New Roman" w:cs="Times New Roman"/>
          <w:i/>
          <w:iCs/>
          <w:u w:val="single"/>
        </w:rPr>
      </w:pPr>
      <w:r w:rsidRPr="00163D0E">
        <w:rPr>
          <w:rFonts w:ascii="Times New Roman" w:hAnsi="Times New Roman" w:cs="Times New Roman"/>
          <w:i/>
          <w:iCs/>
          <w:u w:val="single"/>
        </w:rPr>
        <w:t>The extent to which the proposed purpose will contribute to the promotion or improvement of the economic, social or environmental well-being of the area</w:t>
      </w:r>
      <w:r w:rsidRPr="00163D0E">
        <w:rPr>
          <w:rStyle w:val="FootnoteReference"/>
          <w:rFonts w:ascii="Times New Roman" w:hAnsi="Times New Roman" w:cs="Times New Roman"/>
          <w:i/>
          <w:iCs/>
          <w:u w:val="single"/>
        </w:rPr>
        <w:footnoteReference w:id="1"/>
      </w:r>
    </w:p>
    <w:p w:rsidRPr="00163D0E" w:rsidR="00CE11AF" w:rsidP="00036E1F" w:rsidRDefault="00CE11AF" w14:paraId="58BD4F63" w14:textId="77777777">
      <w:pPr>
        <w:pStyle w:val="ListParagraph"/>
        <w:spacing w:line="360" w:lineRule="auto"/>
        <w:rPr>
          <w:rFonts w:ascii="Times New Roman" w:hAnsi="Times New Roman" w:cs="Times New Roman"/>
          <w:i/>
          <w:iCs/>
          <w:u w:val="single"/>
        </w:rPr>
      </w:pPr>
    </w:p>
    <w:p w:rsidRPr="00163D0E" w:rsidR="00CE11AF" w:rsidP="00036E1F" w:rsidRDefault="00CE11AF" w14:paraId="3B96C76B" w14:textId="12E09423">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As the </w:t>
      </w:r>
      <w:r w:rsidRPr="00163D0E" w:rsidR="00263916">
        <w:rPr>
          <w:rFonts w:ascii="Times New Roman" w:hAnsi="Times New Roman" w:cs="Times New Roman"/>
        </w:rPr>
        <w:t>Council</w:t>
      </w:r>
      <w:r w:rsidRPr="00163D0E">
        <w:rPr>
          <w:rFonts w:ascii="Times New Roman" w:hAnsi="Times New Roman" w:cs="Times New Roman"/>
        </w:rPr>
        <w:t xml:space="preserve"> set out in opening, Blackpool is one of the most deprived Local Authorities nationally and includes eight of the ten most deprived lower super output areas in England and Wales. The levels of deprivation and scale of the challenge is, without doubt, sobering, and, as Mr. Gerrard (“NG”) memorably stated in evidence, the statistics </w:t>
      </w:r>
      <w:r w:rsidRPr="00163D0E">
        <w:rPr>
          <w:rFonts w:ascii="Times New Roman" w:hAnsi="Times New Roman" w:cs="Times New Roman"/>
          <w:i/>
          <w:iCs/>
        </w:rPr>
        <w:t>“make dire reading”,</w:t>
      </w:r>
      <w:r w:rsidRPr="00163D0E">
        <w:rPr>
          <w:rFonts w:ascii="Times New Roman" w:hAnsi="Times New Roman" w:cs="Times New Roman"/>
        </w:rPr>
        <w:t xml:space="preserve"> and the problems are </w:t>
      </w:r>
      <w:r w:rsidRPr="00163D0E">
        <w:rPr>
          <w:rFonts w:ascii="Times New Roman" w:hAnsi="Times New Roman" w:cs="Times New Roman"/>
          <w:i/>
          <w:iCs/>
        </w:rPr>
        <w:t>“enormous”</w:t>
      </w:r>
      <w:r w:rsidRPr="00163D0E">
        <w:rPr>
          <w:rStyle w:val="FootnoteReference"/>
          <w:rFonts w:ascii="Times New Roman" w:hAnsi="Times New Roman" w:cs="Times New Roman"/>
          <w:i/>
          <w:iCs/>
        </w:rPr>
        <w:footnoteReference w:id="2"/>
      </w:r>
      <w:r w:rsidRPr="00163D0E">
        <w:rPr>
          <w:rFonts w:ascii="Times New Roman" w:hAnsi="Times New Roman" w:cs="Times New Roman"/>
          <w:i/>
          <w:iCs/>
        </w:rPr>
        <w:t>.</w:t>
      </w:r>
      <w:r w:rsidRPr="00163D0E">
        <w:rPr>
          <w:rFonts w:ascii="Times New Roman" w:hAnsi="Times New Roman" w:cs="Times New Roman"/>
        </w:rPr>
        <w:t xml:space="preserve"> Both men and women have the lowest life expectancy from birth of any Local Authority in England. The unemployment rate is nearly double the national average, and the youth unemployment rate is more than double the national average. Community stability is weakened by high levels of population transience, exacerbated by poor quality housing, houses in multiple occupation, and short-term tenancies with unscrupulous landlords. The market failure in Inner Blackpool underpins and reinforces the high levels of deprivation</w:t>
      </w:r>
      <w:r w:rsidRPr="00163D0E">
        <w:rPr>
          <w:rStyle w:val="FootnoteReference"/>
          <w:rFonts w:ascii="Times New Roman" w:hAnsi="Times New Roman" w:cs="Times New Roman"/>
        </w:rPr>
        <w:footnoteReference w:id="3"/>
      </w:r>
      <w:r w:rsidRPr="00163D0E">
        <w:rPr>
          <w:rFonts w:ascii="Times New Roman" w:hAnsi="Times New Roman" w:cs="Times New Roman"/>
        </w:rPr>
        <w:t>, with many residents living in “appalling” conditions</w:t>
      </w:r>
      <w:r w:rsidRPr="00163D0E">
        <w:rPr>
          <w:rStyle w:val="FootnoteReference"/>
          <w:rFonts w:ascii="Times New Roman" w:hAnsi="Times New Roman" w:cs="Times New Roman"/>
        </w:rPr>
        <w:footnoteReference w:id="4"/>
      </w:r>
      <w:r w:rsidRPr="00163D0E">
        <w:rPr>
          <w:rFonts w:ascii="Times New Roman" w:hAnsi="Times New Roman" w:cs="Times New Roman"/>
        </w:rPr>
        <w:t xml:space="preserve">. </w:t>
      </w:r>
    </w:p>
    <w:p w:rsidRPr="00163D0E" w:rsidR="00CE11AF" w:rsidP="00036E1F" w:rsidRDefault="00CE11AF" w14:paraId="226D1669" w14:textId="77777777">
      <w:pPr>
        <w:pStyle w:val="ListParagraph"/>
        <w:spacing w:line="360" w:lineRule="auto"/>
        <w:rPr>
          <w:rFonts w:ascii="Times New Roman" w:hAnsi="Times New Roman" w:cs="Times New Roman"/>
        </w:rPr>
      </w:pPr>
    </w:p>
    <w:p w:rsidRPr="00163D0E" w:rsidR="00CE11AF" w:rsidP="00036E1F" w:rsidRDefault="00CE11AF" w14:paraId="4E017902" w14:textId="6BF31881">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 These challenges also manifest themselves, and are reflected in, poor levels of educational attainment. </w:t>
      </w:r>
      <w:r w:rsidRPr="00163D0E" w:rsidR="00EF5932">
        <w:rPr>
          <w:rFonts w:ascii="Times New Roman" w:hAnsi="Times New Roman" w:cs="Times New Roman"/>
        </w:rPr>
        <w:t xml:space="preserve">This is of </w:t>
      </w:r>
      <w:proofErr w:type="gramStart"/>
      <w:r w:rsidRPr="00163D0E" w:rsidR="00EF5932">
        <w:rPr>
          <w:rFonts w:ascii="Times New Roman" w:hAnsi="Times New Roman" w:cs="Times New Roman"/>
        </w:rPr>
        <w:t>particular relevance</w:t>
      </w:r>
      <w:proofErr w:type="gramEnd"/>
      <w:r w:rsidRPr="00163D0E" w:rsidR="00EF5932">
        <w:rPr>
          <w:rFonts w:ascii="Times New Roman" w:hAnsi="Times New Roman" w:cs="Times New Roman"/>
        </w:rPr>
        <w:t xml:space="preserve"> to the proposal in front of the inspector. </w:t>
      </w:r>
      <w:r w:rsidRPr="00163D0E">
        <w:rPr>
          <w:rFonts w:ascii="Times New Roman" w:hAnsi="Times New Roman" w:cs="Times New Roman"/>
        </w:rPr>
        <w:t xml:space="preserve">As noted by NG in </w:t>
      </w:r>
      <w:proofErr w:type="spellStart"/>
      <w:r w:rsidRPr="00163D0E">
        <w:rPr>
          <w:rFonts w:ascii="Times New Roman" w:hAnsi="Times New Roman" w:cs="Times New Roman"/>
        </w:rPr>
        <w:t>xic</w:t>
      </w:r>
      <w:proofErr w:type="spellEnd"/>
      <w:r w:rsidRPr="00163D0E">
        <w:rPr>
          <w:rFonts w:ascii="Times New Roman" w:hAnsi="Times New Roman" w:cs="Times New Roman"/>
        </w:rPr>
        <w:t>, a particularly notable statistic is that only 43% of children in the Inner Area of Blackpool complete primary education at the same school they started at, compared to a national average of 74%, reflecting the significant problems with population transience referred to above. Only 43% of Blackpool school leavers have both GCSE Maths and English at Grade 4 or above. This is 10% lower than the national average. The percentage of those not in employment, education or training (“NEETS”) is some 11.3%, over double the national average. Only 23% of Blackpool residents have a level 4 or above qualification against a national average of 34%, meaning that higher skilled and renumerated work opportunities, and the flexibility to adapt to a changing work environment, are simply out of reach for many residents of the town</w:t>
      </w:r>
      <w:r w:rsidRPr="00163D0E">
        <w:rPr>
          <w:rStyle w:val="FootnoteReference"/>
          <w:rFonts w:ascii="Times New Roman" w:hAnsi="Times New Roman" w:cs="Times New Roman"/>
        </w:rPr>
        <w:footnoteReference w:id="5"/>
      </w:r>
      <w:r w:rsidRPr="00163D0E">
        <w:rPr>
          <w:rFonts w:ascii="Times New Roman" w:hAnsi="Times New Roman" w:cs="Times New Roman"/>
        </w:rPr>
        <w:t>.</w:t>
      </w:r>
    </w:p>
    <w:p w:rsidRPr="00163D0E" w:rsidR="00CE11AF" w:rsidP="00036E1F" w:rsidRDefault="00CE11AF" w14:paraId="6184DD53" w14:textId="77777777">
      <w:pPr>
        <w:pStyle w:val="ListParagraph"/>
        <w:spacing w:line="360" w:lineRule="auto"/>
        <w:rPr>
          <w:rFonts w:ascii="Times New Roman" w:hAnsi="Times New Roman" w:cs="Times New Roman"/>
        </w:rPr>
      </w:pPr>
    </w:p>
    <w:p w:rsidRPr="00163D0E" w:rsidR="00CE11AF" w:rsidP="00036E1F" w:rsidRDefault="00CE11AF" w14:paraId="1B81E6ED" w14:textId="38351D13">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As NG explained in evidence, Blackpool Council’s Growth and Prosperity team was established to address these very significant challenges, thorough maximising growth and opportunity, including through extensive public sector intervention and regeneration. The </w:t>
      </w:r>
      <w:r w:rsidRPr="00163D0E">
        <w:rPr>
          <w:rFonts w:ascii="Times New Roman" w:hAnsi="Times New Roman" w:cs="Times New Roman"/>
          <w:i/>
          <w:iCs/>
        </w:rPr>
        <w:t xml:space="preserve">“passion and commitment” </w:t>
      </w:r>
      <w:r w:rsidRPr="00163D0E">
        <w:rPr>
          <w:rFonts w:ascii="Times New Roman" w:hAnsi="Times New Roman" w:cs="Times New Roman"/>
        </w:rPr>
        <w:t>of its team to deliver critical projects is driven by the over-arching objective and determination to improve the economic, social and environmental well – being of the area, for the benefit of Blackpool’s residents.</w:t>
      </w:r>
    </w:p>
    <w:p w:rsidRPr="00163D0E" w:rsidR="00CE11AF" w:rsidP="00036E1F" w:rsidRDefault="00CE11AF" w14:paraId="5B92FEE2" w14:textId="77777777">
      <w:pPr>
        <w:pStyle w:val="ListParagraph"/>
        <w:spacing w:line="360" w:lineRule="auto"/>
        <w:rPr>
          <w:rFonts w:ascii="Times New Roman" w:hAnsi="Times New Roman" w:cs="Times New Roman"/>
        </w:rPr>
      </w:pPr>
    </w:p>
    <w:p w:rsidRPr="00163D0E" w:rsidR="00CE11AF" w:rsidP="00036E1F" w:rsidRDefault="00CE11AF" w14:paraId="3FCDFAA6" w14:textId="02F8AFC3">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Growth and Prosperity team is the driver of the Growth and Prosperity Programme, a major, multi-million investment </w:t>
      </w:r>
      <w:r w:rsidRPr="00163D0E" w:rsidR="00072760">
        <w:rPr>
          <w:rFonts w:ascii="Times New Roman" w:hAnsi="Times New Roman" w:cs="Times New Roman"/>
        </w:rPr>
        <w:t xml:space="preserve">programme </w:t>
      </w:r>
      <w:r w:rsidRPr="00163D0E">
        <w:rPr>
          <w:rFonts w:ascii="Times New Roman" w:hAnsi="Times New Roman" w:cs="Times New Roman"/>
        </w:rPr>
        <w:t xml:space="preserve">aimed at strengthening the economy and reversing decline with a bold investment agenda. </w:t>
      </w:r>
    </w:p>
    <w:p w:rsidRPr="00163D0E" w:rsidR="00CE11AF" w:rsidP="00036E1F" w:rsidRDefault="00CE11AF" w14:paraId="4A550EB4" w14:textId="77777777">
      <w:pPr>
        <w:pStyle w:val="ListParagraph"/>
        <w:spacing w:line="360" w:lineRule="auto"/>
        <w:rPr>
          <w:rFonts w:ascii="Times New Roman" w:hAnsi="Times New Roman" w:cs="Times New Roman"/>
        </w:rPr>
      </w:pPr>
    </w:p>
    <w:p w:rsidRPr="00163D0E" w:rsidR="00CE11AF" w:rsidP="00036E1F" w:rsidRDefault="00CE11AF" w14:paraId="4554FAB5" w14:textId="197B74E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In 2018, a cross sectoral Blackpool Pride of Place Board was established to develop a collective vision and programme and to assist Blackpool Council </w:t>
      </w:r>
      <w:r w:rsidRPr="00163D0E" w:rsidR="00072760">
        <w:rPr>
          <w:rFonts w:ascii="Times New Roman" w:hAnsi="Times New Roman" w:cs="Times New Roman"/>
        </w:rPr>
        <w:t xml:space="preserve">to </w:t>
      </w:r>
      <w:r w:rsidRPr="00163D0E">
        <w:rPr>
          <w:rFonts w:ascii="Times New Roman" w:hAnsi="Times New Roman" w:cs="Times New Roman"/>
        </w:rPr>
        <w:t>achieve its objectives. The partnership developed the Town Prospectus</w:t>
      </w:r>
      <w:r w:rsidRPr="00163D0E">
        <w:rPr>
          <w:rStyle w:val="FootnoteReference"/>
          <w:rFonts w:ascii="Times New Roman" w:hAnsi="Times New Roman" w:cs="Times New Roman"/>
        </w:rPr>
        <w:footnoteReference w:id="6"/>
      </w:r>
      <w:r w:rsidRPr="00163D0E">
        <w:rPr>
          <w:rFonts w:ascii="Times New Roman" w:hAnsi="Times New Roman" w:cs="Times New Roman"/>
        </w:rPr>
        <w:t>, which was updated in 2020, and which received all party support</w:t>
      </w:r>
      <w:r w:rsidRPr="00163D0E">
        <w:rPr>
          <w:rStyle w:val="FootnoteReference"/>
          <w:rFonts w:ascii="Times New Roman" w:hAnsi="Times New Roman" w:cs="Times New Roman"/>
        </w:rPr>
        <w:footnoteReference w:id="7"/>
      </w:r>
      <w:r w:rsidRPr="00163D0E">
        <w:rPr>
          <w:rFonts w:ascii="Times New Roman" w:hAnsi="Times New Roman" w:cs="Times New Roman"/>
        </w:rPr>
        <w:t xml:space="preserve">. It set out </w:t>
      </w:r>
      <w:proofErr w:type="gramStart"/>
      <w:r w:rsidRPr="00163D0E">
        <w:rPr>
          <w:rFonts w:ascii="Times New Roman" w:hAnsi="Times New Roman" w:cs="Times New Roman"/>
        </w:rPr>
        <w:t>a number of</w:t>
      </w:r>
      <w:proofErr w:type="gramEnd"/>
      <w:r w:rsidRPr="00163D0E">
        <w:rPr>
          <w:rFonts w:ascii="Times New Roman" w:hAnsi="Times New Roman" w:cs="Times New Roman"/>
        </w:rPr>
        <w:t xml:space="preserve"> headline outcomes for Blackpool that are sought to be achieved by 2030, including:</w:t>
      </w:r>
    </w:p>
    <w:p w:rsidRPr="00163D0E" w:rsidR="00CE11AF" w:rsidP="00036E1F" w:rsidRDefault="00CE11AF" w14:paraId="6822D8B4" w14:textId="77777777">
      <w:pPr>
        <w:pStyle w:val="ListParagraph"/>
        <w:spacing w:line="360" w:lineRule="auto"/>
        <w:rPr>
          <w:rFonts w:ascii="Times New Roman" w:hAnsi="Times New Roman" w:cs="Times New Roman"/>
        </w:rPr>
      </w:pPr>
    </w:p>
    <w:p w:rsidRPr="00163D0E" w:rsidR="00CE11AF" w:rsidP="00036E1F" w:rsidRDefault="00CE11AF" w14:paraId="1D41E3DC" w14:textId="77777777">
      <w:pPr>
        <w:pStyle w:val="ListParagraph"/>
        <w:numPr>
          <w:ilvl w:val="0"/>
          <w:numId w:val="3"/>
        </w:numPr>
        <w:spacing w:line="360" w:lineRule="auto"/>
        <w:rPr>
          <w:rFonts w:ascii="Times New Roman" w:hAnsi="Times New Roman" w:cs="Times New Roman"/>
        </w:rPr>
      </w:pPr>
      <w:r w:rsidRPr="00163D0E">
        <w:rPr>
          <w:rFonts w:ascii="Times New Roman" w:hAnsi="Times New Roman" w:cs="Times New Roman"/>
        </w:rPr>
        <w:t>Creating and safeguarding at least 10,000 jobs and growing the economy by £</w:t>
      </w:r>
      <w:proofErr w:type="gramStart"/>
      <w:r w:rsidRPr="00163D0E">
        <w:rPr>
          <w:rFonts w:ascii="Times New Roman" w:hAnsi="Times New Roman" w:cs="Times New Roman"/>
        </w:rPr>
        <w:t>1bn;</w:t>
      </w:r>
      <w:proofErr w:type="gramEnd"/>
    </w:p>
    <w:p w:rsidRPr="00163D0E" w:rsidR="00CE11AF" w:rsidP="00036E1F" w:rsidRDefault="00CE11AF" w14:paraId="27AC2E76" w14:textId="14DAC8A3">
      <w:pPr>
        <w:pStyle w:val="ListParagraph"/>
        <w:numPr>
          <w:ilvl w:val="0"/>
          <w:numId w:val="3"/>
        </w:numPr>
        <w:spacing w:line="360" w:lineRule="auto"/>
        <w:rPr>
          <w:rFonts w:ascii="Times New Roman" w:hAnsi="Times New Roman" w:cs="Times New Roman"/>
        </w:rPr>
      </w:pPr>
      <w:r w:rsidRPr="00163D0E">
        <w:rPr>
          <w:rFonts w:ascii="Times New Roman" w:hAnsi="Times New Roman" w:cs="Times New Roman"/>
        </w:rPr>
        <w:t xml:space="preserve"> Tackling the concentration of deprivation in the inner area (the worst in England) and raising</w:t>
      </w:r>
      <w:r w:rsidRPr="00163D0E" w:rsidR="00263916">
        <w:rPr>
          <w:rFonts w:ascii="Times New Roman" w:hAnsi="Times New Roman" w:cs="Times New Roman"/>
        </w:rPr>
        <w:t xml:space="preserve"> it</w:t>
      </w:r>
      <w:r w:rsidRPr="00163D0E">
        <w:rPr>
          <w:rFonts w:ascii="Times New Roman" w:hAnsi="Times New Roman" w:cs="Times New Roman"/>
        </w:rPr>
        <w:t xml:space="preserve"> out of the bottom </w:t>
      </w:r>
      <w:proofErr w:type="gramStart"/>
      <w:r w:rsidRPr="00163D0E">
        <w:rPr>
          <w:rFonts w:ascii="Times New Roman" w:hAnsi="Times New Roman" w:cs="Times New Roman"/>
        </w:rPr>
        <w:t>decile;</w:t>
      </w:r>
      <w:proofErr w:type="gramEnd"/>
    </w:p>
    <w:p w:rsidRPr="00163D0E" w:rsidR="00CE11AF" w:rsidP="00036E1F" w:rsidRDefault="00CE11AF" w14:paraId="7610986D" w14:textId="77777777">
      <w:pPr>
        <w:pStyle w:val="ListParagraph"/>
        <w:numPr>
          <w:ilvl w:val="0"/>
          <w:numId w:val="3"/>
        </w:numPr>
        <w:spacing w:line="360" w:lineRule="auto"/>
        <w:rPr>
          <w:rFonts w:ascii="Times New Roman" w:hAnsi="Times New Roman" w:cs="Times New Roman"/>
        </w:rPr>
      </w:pPr>
      <w:r w:rsidRPr="00163D0E">
        <w:rPr>
          <w:rFonts w:ascii="Times New Roman" w:hAnsi="Times New Roman" w:cs="Times New Roman"/>
        </w:rPr>
        <w:t xml:space="preserve"> Achieving top quartile employment rates for 16 – </w:t>
      </w:r>
      <w:proofErr w:type="gramStart"/>
      <w:r w:rsidRPr="00163D0E">
        <w:rPr>
          <w:rFonts w:ascii="Times New Roman" w:hAnsi="Times New Roman" w:cs="Times New Roman"/>
        </w:rPr>
        <w:t>24 year olds</w:t>
      </w:r>
      <w:proofErr w:type="gramEnd"/>
      <w:r w:rsidRPr="00163D0E">
        <w:rPr>
          <w:rFonts w:ascii="Times New Roman" w:hAnsi="Times New Roman" w:cs="Times New Roman"/>
        </w:rPr>
        <w:t xml:space="preserve"> compared to other Lancashire Local Authorities through a particular focus on health, well – being, and work readiness; and </w:t>
      </w:r>
    </w:p>
    <w:p w:rsidRPr="00163D0E" w:rsidR="00CE11AF" w:rsidP="00036E1F" w:rsidRDefault="00CE11AF" w14:paraId="4DB27FAD" w14:textId="27246C17">
      <w:pPr>
        <w:pStyle w:val="ListParagraph"/>
        <w:numPr>
          <w:ilvl w:val="0"/>
          <w:numId w:val="3"/>
        </w:numPr>
        <w:spacing w:line="360" w:lineRule="auto"/>
        <w:rPr>
          <w:rFonts w:ascii="Times New Roman" w:hAnsi="Times New Roman" w:cs="Times New Roman"/>
        </w:rPr>
      </w:pPr>
      <w:r w:rsidRPr="00163D0E">
        <w:rPr>
          <w:rFonts w:ascii="Times New Roman" w:hAnsi="Times New Roman" w:cs="Times New Roman"/>
        </w:rPr>
        <w:t>Establishing the national perception of Blackpool as a “can do place” attracting graduates, families and business visitors, recognised as an established and credible business investment location, with increased local pride</w:t>
      </w:r>
      <w:r w:rsidRPr="00163D0E">
        <w:rPr>
          <w:rStyle w:val="FootnoteReference"/>
          <w:rFonts w:ascii="Times New Roman" w:hAnsi="Times New Roman" w:cs="Times New Roman"/>
        </w:rPr>
        <w:footnoteReference w:id="8"/>
      </w:r>
      <w:r w:rsidRPr="00163D0E">
        <w:rPr>
          <w:rFonts w:ascii="Times New Roman" w:hAnsi="Times New Roman" w:cs="Times New Roman"/>
        </w:rPr>
        <w:t>.</w:t>
      </w:r>
    </w:p>
    <w:p w:rsidRPr="00163D0E" w:rsidR="00CE11AF" w:rsidP="00036E1F" w:rsidRDefault="00CE11AF" w14:paraId="2ABD6DDF" w14:textId="77777777">
      <w:pPr>
        <w:pStyle w:val="ListParagraph"/>
        <w:spacing w:line="360" w:lineRule="auto"/>
        <w:rPr>
          <w:rFonts w:ascii="Times New Roman" w:hAnsi="Times New Roman" w:cs="Times New Roman"/>
        </w:rPr>
      </w:pPr>
    </w:p>
    <w:p w:rsidRPr="00163D0E" w:rsidR="00CE11AF" w:rsidP="00036E1F" w:rsidRDefault="00CE11AF" w14:paraId="3BF7C13F" w14:textId="30408A14">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lastRenderedPageBreak/>
        <w:t xml:space="preserve">The Town Prospectus also set out </w:t>
      </w:r>
      <w:proofErr w:type="gramStart"/>
      <w:r w:rsidRPr="00163D0E">
        <w:rPr>
          <w:rFonts w:ascii="Times New Roman" w:hAnsi="Times New Roman" w:cs="Times New Roman"/>
        </w:rPr>
        <w:t>a number of</w:t>
      </w:r>
      <w:proofErr w:type="gramEnd"/>
      <w:r w:rsidRPr="00163D0E">
        <w:rPr>
          <w:rFonts w:ascii="Times New Roman" w:hAnsi="Times New Roman" w:cs="Times New Roman"/>
        </w:rPr>
        <w:t xml:space="preserve"> </w:t>
      </w:r>
      <w:r w:rsidRPr="00163D0E">
        <w:rPr>
          <w:rFonts w:ascii="Times New Roman" w:hAnsi="Times New Roman" w:cs="Times New Roman"/>
          <w:i/>
          <w:iCs/>
        </w:rPr>
        <w:t>“key asks”</w:t>
      </w:r>
      <w:r w:rsidRPr="00163D0E">
        <w:rPr>
          <w:rFonts w:ascii="Times New Roman" w:hAnsi="Times New Roman" w:cs="Times New Roman"/>
        </w:rPr>
        <w:t xml:space="preserve"> of Government to agree a long-term strategic partnership with Blackpool to develop the economy and tackle deprivation. One of the “key asks” was for the Government to,</w:t>
      </w:r>
    </w:p>
    <w:p w:rsidRPr="00163D0E" w:rsidR="00CE11AF" w:rsidP="00036E1F" w:rsidRDefault="00CE11AF" w14:paraId="56E30AEF" w14:textId="77777777">
      <w:pPr>
        <w:pStyle w:val="ListParagraph"/>
        <w:spacing w:line="360" w:lineRule="auto"/>
        <w:rPr>
          <w:rFonts w:ascii="Times New Roman" w:hAnsi="Times New Roman" w:cs="Times New Roman"/>
        </w:rPr>
      </w:pPr>
    </w:p>
    <w:p w:rsidRPr="00163D0E" w:rsidR="00CE11AF" w:rsidP="00036E1F" w:rsidRDefault="00CE11AF" w14:paraId="1BE73E41" w14:textId="4D62330B">
      <w:pPr>
        <w:pStyle w:val="ListParagraph"/>
        <w:spacing w:line="360" w:lineRule="auto"/>
        <w:rPr>
          <w:rFonts w:ascii="Times New Roman" w:hAnsi="Times New Roman" w:cs="Times New Roman"/>
          <w:i/>
          <w:iCs/>
        </w:rPr>
      </w:pPr>
      <w:r w:rsidRPr="00163D0E">
        <w:rPr>
          <w:rFonts w:ascii="Times New Roman" w:hAnsi="Times New Roman" w:cs="Times New Roman"/>
          <w:i/>
          <w:iCs/>
        </w:rPr>
        <w:t>“Invest in building a new university campus in the town centre in conjunction with Blackpool and The Fylde College and Lancaster University”</w:t>
      </w:r>
      <w:r w:rsidRPr="00163D0E">
        <w:rPr>
          <w:rStyle w:val="FootnoteReference"/>
          <w:rFonts w:ascii="Times New Roman" w:hAnsi="Times New Roman" w:cs="Times New Roman"/>
          <w:i/>
          <w:iCs/>
        </w:rPr>
        <w:footnoteReference w:id="9"/>
      </w:r>
      <w:r w:rsidRPr="00163D0E">
        <w:rPr>
          <w:rFonts w:ascii="Times New Roman" w:hAnsi="Times New Roman" w:cs="Times New Roman"/>
          <w:i/>
          <w:iCs/>
        </w:rPr>
        <w:t>.</w:t>
      </w:r>
    </w:p>
    <w:p w:rsidRPr="00163D0E" w:rsidR="00CE11AF" w:rsidP="00036E1F" w:rsidRDefault="00CE11AF" w14:paraId="4EFCFD4D" w14:textId="77777777">
      <w:pPr>
        <w:pStyle w:val="ListParagraph"/>
        <w:spacing w:line="360" w:lineRule="auto"/>
        <w:rPr>
          <w:rFonts w:ascii="Times New Roman" w:hAnsi="Times New Roman" w:cs="Times New Roman"/>
          <w:i/>
          <w:iCs/>
        </w:rPr>
      </w:pPr>
    </w:p>
    <w:p w:rsidRPr="00163D0E" w:rsidR="00CE11AF" w:rsidP="00036E1F" w:rsidRDefault="00CE11AF" w14:paraId="791B9E7E" w14:textId="76FF1499">
      <w:pPr>
        <w:pStyle w:val="ListParagraph"/>
        <w:spacing w:line="360" w:lineRule="auto"/>
        <w:rPr>
          <w:rFonts w:ascii="Times New Roman" w:hAnsi="Times New Roman" w:cs="Times New Roman"/>
        </w:rPr>
      </w:pPr>
      <w:r w:rsidRPr="00163D0E">
        <w:rPr>
          <w:rFonts w:ascii="Times New Roman" w:hAnsi="Times New Roman" w:cs="Times New Roman"/>
        </w:rPr>
        <w:t>Thus, the genesis of the Multiversity development was borne out of a strong and coherent partnership as one essential component of a strategic response to address Blackpool’s challenges in a holistic way</w:t>
      </w:r>
      <w:r w:rsidRPr="00163D0E">
        <w:rPr>
          <w:rStyle w:val="FootnoteReference"/>
          <w:rFonts w:ascii="Times New Roman" w:hAnsi="Times New Roman" w:cs="Times New Roman"/>
        </w:rPr>
        <w:footnoteReference w:id="10"/>
      </w:r>
      <w:r w:rsidRPr="00163D0E">
        <w:rPr>
          <w:rFonts w:ascii="Times New Roman" w:hAnsi="Times New Roman" w:cs="Times New Roman"/>
        </w:rPr>
        <w:t>.</w:t>
      </w:r>
    </w:p>
    <w:p w:rsidRPr="00163D0E" w:rsidR="00CE11AF" w:rsidP="00036E1F" w:rsidRDefault="00CE11AF" w14:paraId="0989724B" w14:textId="77777777">
      <w:pPr>
        <w:pStyle w:val="ListParagraph"/>
        <w:spacing w:line="360" w:lineRule="auto"/>
        <w:rPr>
          <w:rFonts w:ascii="Times New Roman" w:hAnsi="Times New Roman" w:cs="Times New Roman"/>
        </w:rPr>
      </w:pPr>
    </w:p>
    <w:p w:rsidRPr="00163D0E" w:rsidR="00CE11AF" w:rsidP="00036E1F" w:rsidRDefault="00CE11AF" w14:paraId="609F18B9" w14:textId="45D3EC4B">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Subsequently, in July 2020, Blackpool submitted the Blackpool Town Investment Plan </w:t>
      </w:r>
      <w:r w:rsidRPr="00163D0E" w:rsidR="00072760">
        <w:rPr>
          <w:rFonts w:ascii="Times New Roman" w:hAnsi="Times New Roman" w:cs="Times New Roman"/>
        </w:rPr>
        <w:t>with</w:t>
      </w:r>
      <w:r w:rsidRPr="00163D0E">
        <w:rPr>
          <w:rFonts w:ascii="Times New Roman" w:hAnsi="Times New Roman" w:cs="Times New Roman"/>
        </w:rPr>
        <w:t xml:space="preserve"> its bid for Town Deal funding</w:t>
      </w:r>
      <w:r w:rsidRPr="00163D0E" w:rsidR="00B03CA4">
        <w:rPr>
          <w:rFonts w:ascii="Times New Roman" w:hAnsi="Times New Roman" w:cs="Times New Roman"/>
        </w:rPr>
        <w:t xml:space="preserve"> and</w:t>
      </w:r>
      <w:r w:rsidRPr="00163D0E">
        <w:rPr>
          <w:rFonts w:ascii="Times New Roman" w:hAnsi="Times New Roman" w:cs="Times New Roman"/>
        </w:rPr>
        <w:t xml:space="preserve"> as part of the drive to realise the economic potential of the Town. The interventions prioritised for funding included feasibility work and acquisition of land to bring forward the Multiversity scheme in the town centre</w:t>
      </w:r>
      <w:r w:rsidRPr="00163D0E">
        <w:rPr>
          <w:rStyle w:val="FootnoteReference"/>
          <w:rFonts w:ascii="Times New Roman" w:hAnsi="Times New Roman" w:cs="Times New Roman"/>
        </w:rPr>
        <w:footnoteReference w:id="11"/>
      </w:r>
      <w:r w:rsidRPr="00163D0E">
        <w:rPr>
          <w:rFonts w:ascii="Times New Roman" w:hAnsi="Times New Roman" w:cs="Times New Roman"/>
        </w:rPr>
        <w:t xml:space="preserve">. The rationale for this was that the Multiversity scheme would </w:t>
      </w:r>
      <w:r w:rsidRPr="00163D0E">
        <w:rPr>
          <w:rFonts w:ascii="Times New Roman" w:hAnsi="Times New Roman" w:cs="Times New Roman"/>
          <w:u w:val="single"/>
        </w:rPr>
        <w:t>both</w:t>
      </w:r>
      <w:r w:rsidRPr="00163D0E">
        <w:rPr>
          <w:rFonts w:ascii="Times New Roman" w:hAnsi="Times New Roman" w:cs="Times New Roman"/>
        </w:rPr>
        <w:t xml:space="preserve"> assist in addressing high levels of unemployment, low skills, qualifications, worklessness and improve aspirations </w:t>
      </w:r>
      <w:r w:rsidRPr="00163D0E">
        <w:rPr>
          <w:rFonts w:ascii="Times New Roman" w:hAnsi="Times New Roman" w:cs="Times New Roman"/>
          <w:u w:val="single"/>
        </w:rPr>
        <w:t xml:space="preserve">and </w:t>
      </w:r>
      <w:r w:rsidRPr="00163D0E">
        <w:rPr>
          <w:rFonts w:ascii="Times New Roman" w:hAnsi="Times New Roman" w:cs="Times New Roman"/>
        </w:rPr>
        <w:t xml:space="preserve">would also assist in regenerating the </w:t>
      </w:r>
      <w:r w:rsidRPr="00163D0E" w:rsidR="00B03CA4">
        <w:rPr>
          <w:rFonts w:ascii="Times New Roman" w:hAnsi="Times New Roman" w:cs="Times New Roman"/>
        </w:rPr>
        <w:t>central area</w:t>
      </w:r>
      <w:r w:rsidRPr="00163D0E">
        <w:rPr>
          <w:rFonts w:ascii="Times New Roman" w:hAnsi="Times New Roman" w:cs="Times New Roman"/>
        </w:rPr>
        <w:t xml:space="preserve"> of Blackpool</w:t>
      </w:r>
      <w:r w:rsidRPr="00163D0E">
        <w:rPr>
          <w:rStyle w:val="FootnoteReference"/>
          <w:rFonts w:ascii="Times New Roman" w:hAnsi="Times New Roman" w:cs="Times New Roman"/>
        </w:rPr>
        <w:footnoteReference w:id="12"/>
      </w:r>
      <w:r w:rsidRPr="00163D0E">
        <w:rPr>
          <w:rFonts w:ascii="Times New Roman" w:hAnsi="Times New Roman" w:cs="Times New Roman"/>
        </w:rPr>
        <w:t>.</w:t>
      </w:r>
      <w:r w:rsidRPr="00163D0E" w:rsidR="00DD7946">
        <w:rPr>
          <w:rFonts w:ascii="Times New Roman" w:hAnsi="Times New Roman" w:cs="Times New Roman"/>
        </w:rPr>
        <w:t xml:space="preserve"> </w:t>
      </w:r>
    </w:p>
    <w:p w:rsidRPr="00163D0E" w:rsidR="00DD7946" w:rsidP="00036E1F" w:rsidRDefault="00DD7946" w14:paraId="1C6B0960" w14:textId="77777777">
      <w:pPr>
        <w:pStyle w:val="ListParagraph"/>
        <w:spacing w:line="360" w:lineRule="auto"/>
        <w:rPr>
          <w:rFonts w:ascii="Times New Roman" w:hAnsi="Times New Roman" w:cs="Times New Roman"/>
        </w:rPr>
      </w:pPr>
    </w:p>
    <w:p w:rsidRPr="00163D0E" w:rsidR="00CE11AF" w:rsidP="00036E1F" w:rsidRDefault="00CE11AF" w14:paraId="00460B17" w14:textId="1C1237BE">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 Funding was available </w:t>
      </w:r>
      <w:r w:rsidRPr="00163D0E" w:rsidR="008E36D8">
        <w:rPr>
          <w:rFonts w:ascii="Times New Roman" w:hAnsi="Times New Roman" w:cs="Times New Roman"/>
        </w:rPr>
        <w:t xml:space="preserve">from Central Government </w:t>
      </w:r>
      <w:r w:rsidRPr="00163D0E">
        <w:rPr>
          <w:rFonts w:ascii="Times New Roman" w:hAnsi="Times New Roman" w:cs="Times New Roman"/>
        </w:rPr>
        <w:t xml:space="preserve">for up to £25m in each place, save that in </w:t>
      </w:r>
      <w:r w:rsidRPr="00163D0E">
        <w:rPr>
          <w:rFonts w:ascii="Times New Roman" w:hAnsi="Times New Roman" w:cs="Times New Roman"/>
          <w:u w:val="single"/>
        </w:rPr>
        <w:t>exceptional circumstances</w:t>
      </w:r>
      <w:r w:rsidRPr="00163D0E">
        <w:rPr>
          <w:rFonts w:ascii="Times New Roman" w:hAnsi="Times New Roman" w:cs="Times New Roman"/>
        </w:rPr>
        <w:t xml:space="preserve"> up to £50m could be awarded. Blackpool was the first place in the country to achieve funding in the exceptional category, and in November 2020 was awarded some £39.5m plus £1m accelerated funding to support 7 priority projects across the financial years 2020/21 – 2025/6</w:t>
      </w:r>
      <w:r w:rsidRPr="00163D0E">
        <w:rPr>
          <w:rStyle w:val="FootnoteReference"/>
          <w:rFonts w:ascii="Times New Roman" w:hAnsi="Times New Roman" w:cs="Times New Roman"/>
        </w:rPr>
        <w:footnoteReference w:id="13"/>
      </w:r>
      <w:r w:rsidRPr="00163D0E" w:rsidR="00DD7946">
        <w:rPr>
          <w:rFonts w:ascii="Times New Roman" w:hAnsi="Times New Roman" w:cs="Times New Roman"/>
        </w:rPr>
        <w:t>.</w:t>
      </w:r>
    </w:p>
    <w:p w:rsidRPr="00163D0E" w:rsidR="00B03CA4" w:rsidP="00B03CA4" w:rsidRDefault="00B03CA4" w14:paraId="2192499E" w14:textId="77777777">
      <w:pPr>
        <w:pStyle w:val="ListParagraph"/>
        <w:spacing w:line="360" w:lineRule="auto"/>
        <w:rPr>
          <w:rFonts w:ascii="Times New Roman" w:hAnsi="Times New Roman" w:cs="Times New Roman"/>
        </w:rPr>
      </w:pPr>
    </w:p>
    <w:p w:rsidRPr="00163D0E" w:rsidR="00DD7946" w:rsidP="00036E1F" w:rsidRDefault="00DD7946" w14:paraId="3DFA2B00" w14:textId="106A2774">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Multiversity </w:t>
      </w:r>
      <w:r w:rsidRPr="00163D0E" w:rsidR="00B03CA4">
        <w:rPr>
          <w:rFonts w:ascii="Times New Roman" w:hAnsi="Times New Roman" w:cs="Times New Roman"/>
        </w:rPr>
        <w:t xml:space="preserve">scheme </w:t>
      </w:r>
      <w:r w:rsidRPr="00163D0E">
        <w:rPr>
          <w:rFonts w:ascii="Times New Roman" w:hAnsi="Times New Roman" w:cs="Times New Roman"/>
        </w:rPr>
        <w:t>was one of these priority projects. In November 2021, a business case was prepared and submitted for the acquisition and clearance of the entirety of the Order land. This was approved by Government in March 2022</w:t>
      </w:r>
      <w:r w:rsidRPr="00163D0E">
        <w:rPr>
          <w:rStyle w:val="FootnoteReference"/>
          <w:rFonts w:ascii="Times New Roman" w:hAnsi="Times New Roman" w:cs="Times New Roman"/>
        </w:rPr>
        <w:footnoteReference w:id="14"/>
      </w:r>
      <w:r w:rsidRPr="00163D0E">
        <w:rPr>
          <w:rFonts w:ascii="Times New Roman" w:hAnsi="Times New Roman" w:cs="Times New Roman"/>
        </w:rPr>
        <w:t xml:space="preserve">, and </w:t>
      </w:r>
      <w:r w:rsidRPr="00163D0E">
        <w:rPr>
          <w:rFonts w:ascii="Times New Roman" w:hAnsi="Times New Roman" w:cs="Times New Roman"/>
        </w:rPr>
        <w:lastRenderedPageBreak/>
        <w:t xml:space="preserve">£9m of the £39.5m Town Deal funding was allocated for these purposes. The grant was provided on the basis that if any additional finance was required, it would be funded by the Council. The Council has resolved to do so, and any increases are reported to and approved by MHCLG as part of their regular monitoring of the project. Thus, </w:t>
      </w:r>
      <w:r w:rsidRPr="00163D0E" w:rsidR="008E36D8">
        <w:rPr>
          <w:rFonts w:ascii="Times New Roman" w:hAnsi="Times New Roman" w:cs="Times New Roman"/>
        </w:rPr>
        <w:t xml:space="preserve">as </w:t>
      </w:r>
      <w:r w:rsidRPr="00163D0E">
        <w:rPr>
          <w:rFonts w:ascii="Times New Roman" w:hAnsi="Times New Roman" w:cs="Times New Roman"/>
        </w:rPr>
        <w:t xml:space="preserve">Mr. Gerrard confirmed in evidence, that funding is in place, in its entirety, for site acquisition and clearance of the entire site. </w:t>
      </w:r>
    </w:p>
    <w:p w:rsidRPr="00163D0E" w:rsidR="00DD7946" w:rsidP="00036E1F" w:rsidRDefault="00DD7946" w14:paraId="0537AE6E" w14:textId="77777777">
      <w:pPr>
        <w:pStyle w:val="ListParagraph"/>
        <w:spacing w:line="360" w:lineRule="auto"/>
        <w:rPr>
          <w:rFonts w:ascii="Times New Roman" w:hAnsi="Times New Roman" w:cs="Times New Roman"/>
        </w:rPr>
      </w:pPr>
    </w:p>
    <w:p w:rsidRPr="00163D0E" w:rsidR="00DD7946" w:rsidP="00036E1F" w:rsidRDefault="00DD7946" w14:paraId="28B2E995" w14:textId="76D29A11">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Funding is also secured</w:t>
      </w:r>
      <w:r w:rsidRPr="00163D0E" w:rsidR="00B03CA4">
        <w:rPr>
          <w:rFonts w:ascii="Times New Roman" w:hAnsi="Times New Roman" w:cs="Times New Roman"/>
        </w:rPr>
        <w:t xml:space="preserve"> </w:t>
      </w:r>
      <w:r w:rsidRPr="00163D0E">
        <w:rPr>
          <w:rFonts w:ascii="Times New Roman" w:hAnsi="Times New Roman" w:cs="Times New Roman"/>
        </w:rPr>
        <w:t xml:space="preserve">for </w:t>
      </w:r>
      <w:r w:rsidRPr="00163D0E" w:rsidR="00B03CA4">
        <w:rPr>
          <w:rFonts w:ascii="Times New Roman" w:hAnsi="Times New Roman" w:cs="Times New Roman"/>
        </w:rPr>
        <w:t xml:space="preserve">the delivery of </w:t>
      </w:r>
      <w:r w:rsidRPr="00163D0E">
        <w:rPr>
          <w:rFonts w:ascii="Times New Roman" w:hAnsi="Times New Roman" w:cs="Times New Roman"/>
        </w:rPr>
        <w:t>Phase 1 of the scheme</w:t>
      </w:r>
      <w:r w:rsidRPr="00163D0E" w:rsidR="00B03CA4">
        <w:rPr>
          <w:rFonts w:ascii="Times New Roman" w:hAnsi="Times New Roman" w:cs="Times New Roman"/>
        </w:rPr>
        <w:t xml:space="preserve"> in its totality</w:t>
      </w:r>
      <w:r w:rsidRPr="00163D0E">
        <w:rPr>
          <w:rFonts w:ascii="Times New Roman" w:hAnsi="Times New Roman" w:cs="Times New Roman"/>
        </w:rPr>
        <w:t>. A business plan has been prepared for the Multiversity</w:t>
      </w:r>
      <w:r w:rsidRPr="00163D0E">
        <w:rPr>
          <w:rStyle w:val="FootnoteReference"/>
          <w:rFonts w:ascii="Times New Roman" w:hAnsi="Times New Roman" w:cs="Times New Roman"/>
        </w:rPr>
        <w:footnoteReference w:id="15"/>
      </w:r>
      <w:r w:rsidRPr="00163D0E">
        <w:rPr>
          <w:rFonts w:ascii="Times New Roman" w:hAnsi="Times New Roman" w:cs="Times New Roman"/>
        </w:rPr>
        <w:t>, and some £40m has been secured from MHCLG through the Levelling Up Fund Round 2 for the construction of a new campus</w:t>
      </w:r>
      <w:r w:rsidRPr="00163D0E">
        <w:rPr>
          <w:rStyle w:val="FootnoteReference"/>
          <w:rFonts w:ascii="Times New Roman" w:hAnsi="Times New Roman" w:cs="Times New Roman"/>
        </w:rPr>
        <w:footnoteReference w:id="16"/>
      </w:r>
      <w:r w:rsidRPr="00163D0E">
        <w:rPr>
          <w:rFonts w:ascii="Times New Roman" w:hAnsi="Times New Roman" w:cs="Times New Roman"/>
        </w:rPr>
        <w:t>. The remaining £16m will be prudentially borrowed by the Council and paid back by the College through the terms of its lease with the Council</w:t>
      </w:r>
      <w:r w:rsidRPr="00163D0E">
        <w:rPr>
          <w:rStyle w:val="FootnoteReference"/>
          <w:rFonts w:ascii="Times New Roman" w:hAnsi="Times New Roman" w:cs="Times New Roman"/>
        </w:rPr>
        <w:footnoteReference w:id="17"/>
      </w:r>
      <w:r w:rsidRPr="00163D0E">
        <w:rPr>
          <w:rFonts w:ascii="Times New Roman" w:hAnsi="Times New Roman" w:cs="Times New Roman"/>
        </w:rPr>
        <w:t>. The authority to enter into this agreement was given by the Council’s Executive on 27</w:t>
      </w:r>
      <w:r w:rsidRPr="00163D0E">
        <w:rPr>
          <w:rFonts w:ascii="Times New Roman" w:hAnsi="Times New Roman" w:cs="Times New Roman"/>
          <w:vertAlign w:val="superscript"/>
        </w:rPr>
        <w:t>th</w:t>
      </w:r>
      <w:r w:rsidRPr="00163D0E">
        <w:rPr>
          <w:rFonts w:ascii="Times New Roman" w:hAnsi="Times New Roman" w:cs="Times New Roman"/>
        </w:rPr>
        <w:t xml:space="preserve"> February 2023</w:t>
      </w:r>
      <w:r w:rsidRPr="00163D0E">
        <w:rPr>
          <w:rStyle w:val="FootnoteReference"/>
          <w:rFonts w:ascii="Times New Roman" w:hAnsi="Times New Roman" w:cs="Times New Roman"/>
        </w:rPr>
        <w:footnoteReference w:id="18"/>
      </w:r>
      <w:r w:rsidRPr="00163D0E">
        <w:rPr>
          <w:rFonts w:ascii="Times New Roman" w:hAnsi="Times New Roman" w:cs="Times New Roman"/>
        </w:rPr>
        <w:t>, and Heads of Terms with the College are now agreed</w:t>
      </w:r>
      <w:r w:rsidRPr="00163D0E">
        <w:rPr>
          <w:rStyle w:val="FootnoteReference"/>
          <w:rFonts w:ascii="Times New Roman" w:hAnsi="Times New Roman" w:cs="Times New Roman"/>
        </w:rPr>
        <w:footnoteReference w:id="19"/>
      </w:r>
      <w:r w:rsidRPr="00163D0E">
        <w:rPr>
          <w:rFonts w:ascii="Times New Roman" w:hAnsi="Times New Roman" w:cs="Times New Roman"/>
        </w:rPr>
        <w:t>.</w:t>
      </w:r>
    </w:p>
    <w:p w:rsidRPr="00163D0E" w:rsidR="00DD7946" w:rsidP="00036E1F" w:rsidRDefault="00DD7946" w14:paraId="72B7C687" w14:textId="77777777">
      <w:pPr>
        <w:pStyle w:val="ListParagraph"/>
        <w:spacing w:line="360" w:lineRule="auto"/>
        <w:rPr>
          <w:rFonts w:ascii="Times New Roman" w:hAnsi="Times New Roman" w:cs="Times New Roman"/>
        </w:rPr>
      </w:pPr>
    </w:p>
    <w:p w:rsidRPr="00163D0E" w:rsidR="00DD7946" w:rsidP="00036E1F" w:rsidRDefault="00DD7946" w14:paraId="7ABB79AC" w14:textId="53756B83">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Thus, the funding is in place and is secured, in its entirety, for site acquisition, clearance, and to deliver the entirety of Phase 1 of the Multiversity project. I return to funding further below.</w:t>
      </w:r>
    </w:p>
    <w:p w:rsidRPr="00163D0E" w:rsidR="00DD7946" w:rsidP="00036E1F" w:rsidRDefault="00DD7946" w14:paraId="044C68F8" w14:textId="77777777">
      <w:pPr>
        <w:pStyle w:val="ListParagraph"/>
        <w:spacing w:line="360" w:lineRule="auto"/>
        <w:rPr>
          <w:rFonts w:ascii="Times New Roman" w:hAnsi="Times New Roman" w:cs="Times New Roman"/>
        </w:rPr>
      </w:pPr>
    </w:p>
    <w:p w:rsidRPr="00163D0E" w:rsidR="00DD7946" w:rsidP="00036E1F" w:rsidRDefault="00DD7946" w14:paraId="748097CC" w14:textId="4B296740">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However, the committed funding for the Multiversity scheme should also be understood in its wider context. The Multiversity scheme sits within the wider regeneration programme for Blackpool, which holistically seeks to address the significant challenges referred to above, and which collectively seeks to improve the social, economic and environmental well – being of the area. Over £164m in grant funding has been secured from central sources towards this wider regeneration imperative</w:t>
      </w:r>
      <w:r w:rsidRPr="00163D0E">
        <w:rPr>
          <w:rStyle w:val="FootnoteReference"/>
          <w:rFonts w:ascii="Times New Roman" w:hAnsi="Times New Roman" w:cs="Times New Roman"/>
        </w:rPr>
        <w:footnoteReference w:id="20"/>
      </w:r>
      <w:r w:rsidRPr="00163D0E">
        <w:rPr>
          <w:rFonts w:ascii="Times New Roman" w:hAnsi="Times New Roman" w:cs="Times New Roman"/>
        </w:rPr>
        <w:t>. At local level, the Council has committed over £800m towards regeneration projects across the town over the last 15 years</w:t>
      </w:r>
      <w:r w:rsidRPr="00163D0E">
        <w:rPr>
          <w:rStyle w:val="FootnoteReference"/>
          <w:rFonts w:ascii="Times New Roman" w:hAnsi="Times New Roman" w:cs="Times New Roman"/>
        </w:rPr>
        <w:footnoteReference w:id="21"/>
      </w:r>
      <w:r w:rsidRPr="00163D0E">
        <w:rPr>
          <w:rFonts w:ascii="Times New Roman" w:hAnsi="Times New Roman" w:cs="Times New Roman"/>
        </w:rPr>
        <w:t xml:space="preserve">. This exceptional level of national and local public funding and investment underscores that the Council’s </w:t>
      </w:r>
      <w:r w:rsidRPr="00163D0E">
        <w:rPr>
          <w:rFonts w:ascii="Times New Roman" w:hAnsi="Times New Roman" w:cs="Times New Roman"/>
        </w:rPr>
        <w:lastRenderedPageBreak/>
        <w:t xml:space="preserve">regeneration imperatives are both a local and national priority and emphasises the critical nature of the improvements sought to the economic, social and environmental well – being </w:t>
      </w:r>
      <w:r w:rsidRPr="00163D0E" w:rsidR="007F14F6">
        <w:rPr>
          <w:rFonts w:ascii="Times New Roman" w:hAnsi="Times New Roman" w:cs="Times New Roman"/>
        </w:rPr>
        <w:t>of Blackpool.</w:t>
      </w:r>
    </w:p>
    <w:p w:rsidRPr="00163D0E" w:rsidR="00DD7946" w:rsidP="00036E1F" w:rsidRDefault="00DD7946" w14:paraId="029AF78B" w14:textId="77777777">
      <w:pPr>
        <w:pStyle w:val="ListParagraph"/>
        <w:spacing w:line="360" w:lineRule="auto"/>
        <w:rPr>
          <w:rFonts w:ascii="Times New Roman" w:hAnsi="Times New Roman" w:cs="Times New Roman"/>
        </w:rPr>
      </w:pPr>
    </w:p>
    <w:p w:rsidRPr="00163D0E" w:rsidR="00446961" w:rsidP="00036E1F" w:rsidRDefault="00DD7946" w14:paraId="0CDC83C1" w14:textId="45900221">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There has already been much success, and this is plain to see on the ground.</w:t>
      </w:r>
      <w:r w:rsidRPr="00163D0E" w:rsidR="00446961">
        <w:rPr>
          <w:rFonts w:ascii="Times New Roman" w:hAnsi="Times New Roman" w:cs="Times New Roman"/>
        </w:rPr>
        <w:t xml:space="preserve"> One of the key strategic objectives of the Growth and Prosperity Programme is to rejuvenate the central area to attract more employment and spending power. This includes the creation of the Talbot Gateway Central Business District (also referred to as Talbot Gateway) to secure more high-quality jobs, increasing footfall into the town centre, uplifting the local environment through high quality design and public realm improvements, and securing increases in job and educational opportunities for residents. </w:t>
      </w:r>
    </w:p>
    <w:p w:rsidRPr="00163D0E" w:rsidR="00446961" w:rsidP="00036E1F" w:rsidRDefault="00446961" w14:paraId="696A19B0" w14:textId="77777777">
      <w:pPr>
        <w:pStyle w:val="ListParagraph"/>
        <w:spacing w:line="360" w:lineRule="auto"/>
        <w:rPr>
          <w:rFonts w:ascii="Times New Roman" w:hAnsi="Times New Roman" w:cs="Times New Roman"/>
        </w:rPr>
      </w:pPr>
    </w:p>
    <w:p w:rsidRPr="00163D0E" w:rsidR="00C3710A" w:rsidP="00036E1F" w:rsidRDefault="00446961" w14:paraId="74934D7F" w14:textId="38B6555E">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Phases 1 and 2 of the regeneration programme for the Talbot Gateway have completed, and phase 3 is well underway. The transformational success of the programme is plain to see, with low quality housing, commercial uses, and</w:t>
      </w:r>
      <w:r w:rsidRPr="00163D0E" w:rsidR="00C3710A">
        <w:rPr>
          <w:rFonts w:ascii="Times New Roman" w:hAnsi="Times New Roman" w:cs="Times New Roman"/>
        </w:rPr>
        <w:t xml:space="preserve"> poor – quality and fragmented public realm being </w:t>
      </w:r>
      <w:r w:rsidRPr="00163D0E">
        <w:rPr>
          <w:rFonts w:ascii="Times New Roman" w:hAnsi="Times New Roman" w:cs="Times New Roman"/>
        </w:rPr>
        <w:t>replaced by high quality town centre development, public realm, and sustainable transport connections</w:t>
      </w:r>
      <w:r w:rsidRPr="00163D0E">
        <w:rPr>
          <w:rStyle w:val="FootnoteReference"/>
          <w:rFonts w:ascii="Times New Roman" w:hAnsi="Times New Roman" w:cs="Times New Roman"/>
        </w:rPr>
        <w:footnoteReference w:id="22"/>
      </w:r>
      <w:r w:rsidRPr="00163D0E" w:rsidR="00C3710A">
        <w:rPr>
          <w:rFonts w:ascii="Times New Roman" w:hAnsi="Times New Roman" w:cs="Times New Roman"/>
        </w:rPr>
        <w:t xml:space="preserve">. As NG commented, this is </w:t>
      </w:r>
      <w:r w:rsidRPr="00163D0E" w:rsidR="00C3710A">
        <w:rPr>
          <w:rFonts w:ascii="Times New Roman" w:hAnsi="Times New Roman" w:cs="Times New Roman"/>
          <w:i/>
          <w:iCs/>
        </w:rPr>
        <w:t>“a place that has changed beyond all recognition</w:t>
      </w:r>
      <w:proofErr w:type="gramStart"/>
      <w:r w:rsidRPr="00163D0E" w:rsidR="00C3710A">
        <w:rPr>
          <w:rFonts w:ascii="Times New Roman" w:hAnsi="Times New Roman" w:cs="Times New Roman"/>
          <w:i/>
          <w:iCs/>
        </w:rPr>
        <w:t>”</w:t>
      </w:r>
      <w:r w:rsidRPr="00163D0E" w:rsidR="00C3710A">
        <w:rPr>
          <w:rFonts w:ascii="Times New Roman" w:hAnsi="Times New Roman" w:cs="Times New Roman"/>
        </w:rPr>
        <w:t xml:space="preserve"> .</w:t>
      </w:r>
      <w:proofErr w:type="gramEnd"/>
      <w:r w:rsidRPr="00163D0E" w:rsidR="00C3710A">
        <w:rPr>
          <w:rFonts w:ascii="Times New Roman" w:hAnsi="Times New Roman" w:cs="Times New Roman"/>
        </w:rPr>
        <w:t xml:space="preserve"> </w:t>
      </w:r>
    </w:p>
    <w:p w:rsidRPr="00163D0E" w:rsidR="00C3710A" w:rsidP="00036E1F" w:rsidRDefault="00C3710A" w14:paraId="5210E65D" w14:textId="77777777">
      <w:pPr>
        <w:pStyle w:val="ListParagraph"/>
        <w:spacing w:line="360" w:lineRule="auto"/>
        <w:rPr>
          <w:rFonts w:ascii="Times New Roman" w:hAnsi="Times New Roman" w:cs="Times New Roman"/>
        </w:rPr>
      </w:pPr>
    </w:p>
    <w:p w:rsidRPr="00163D0E" w:rsidR="00C3710A" w:rsidP="00036E1F" w:rsidRDefault="00C3710A" w14:paraId="5F950695" w14:textId="345CF755">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next phase of growth and transformation will be delivered by the Multiversity scheme, which is Phase 4 of this important regeneration programme.</w:t>
      </w:r>
    </w:p>
    <w:p w:rsidRPr="00163D0E" w:rsidR="00C3710A" w:rsidP="00036E1F" w:rsidRDefault="00C3710A" w14:paraId="732A6136" w14:textId="77777777">
      <w:pPr>
        <w:pStyle w:val="ListParagraph"/>
        <w:spacing w:line="360" w:lineRule="auto"/>
        <w:rPr>
          <w:rFonts w:ascii="Times New Roman" w:hAnsi="Times New Roman" w:cs="Times New Roman"/>
        </w:rPr>
      </w:pPr>
    </w:p>
    <w:p w:rsidRPr="00163D0E" w:rsidR="00C3710A" w:rsidP="00036E1F" w:rsidRDefault="00C3710A" w14:paraId="73B3E45D" w14:textId="3FFAF604">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Multiversity scheme will deliver a world class educational facility on the site comprised of the Order land. This will be operated by Blackpool and the Fylde College, wh</w:t>
      </w:r>
      <w:r w:rsidRPr="00163D0E" w:rsidR="00DF087A">
        <w:rPr>
          <w:rFonts w:ascii="Times New Roman" w:hAnsi="Times New Roman" w:cs="Times New Roman"/>
        </w:rPr>
        <w:t>ich as</w:t>
      </w:r>
      <w:r w:rsidRPr="00163D0E">
        <w:rPr>
          <w:rFonts w:ascii="Times New Roman" w:hAnsi="Times New Roman" w:cs="Times New Roman"/>
        </w:rPr>
        <w:t xml:space="preserve"> Mr. Mulvey (“AM”) explained, is recognised nationally, regionally and locally as one of the leading higher education providers in the country. The College is the only provider of further and higher education on the Fylde Coast. </w:t>
      </w:r>
    </w:p>
    <w:p w:rsidRPr="00163D0E" w:rsidR="00C3710A" w:rsidP="00036E1F" w:rsidRDefault="00C3710A" w14:paraId="13DE46EF" w14:textId="77777777">
      <w:pPr>
        <w:pStyle w:val="ListParagraph"/>
        <w:spacing w:line="360" w:lineRule="auto"/>
        <w:rPr>
          <w:rFonts w:ascii="Times New Roman" w:hAnsi="Times New Roman" w:cs="Times New Roman"/>
        </w:rPr>
      </w:pPr>
    </w:p>
    <w:p w:rsidRPr="00163D0E" w:rsidR="00C3710A" w:rsidP="00036E1F" w:rsidRDefault="00C3710A" w14:paraId="416FB42C" w14:textId="4D20DACD">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As set out above, Blackpool is an area that faces acute challenges in respect of deprivation, low attainment, and high levels of unemployment and worklessness. </w:t>
      </w:r>
      <w:r w:rsidRPr="00163D0E">
        <w:rPr>
          <w:rFonts w:ascii="Times New Roman" w:hAnsi="Times New Roman" w:cs="Times New Roman"/>
        </w:rPr>
        <w:lastRenderedPageBreak/>
        <w:t>Current data indicates that Blackpool has some 11.1% of NEETS</w:t>
      </w:r>
      <w:r w:rsidRPr="00163D0E">
        <w:rPr>
          <w:rStyle w:val="FootnoteReference"/>
          <w:rFonts w:ascii="Times New Roman" w:hAnsi="Times New Roman" w:cs="Times New Roman"/>
        </w:rPr>
        <w:footnoteReference w:id="23"/>
      </w:r>
      <w:r w:rsidRPr="00163D0E">
        <w:rPr>
          <w:rFonts w:ascii="Times New Roman" w:hAnsi="Times New Roman" w:cs="Times New Roman"/>
        </w:rPr>
        <w:t xml:space="preserve"> relative to a 5.2% nationally, and 5.3% in the northwest</w:t>
      </w:r>
      <w:r w:rsidRPr="00163D0E">
        <w:rPr>
          <w:rStyle w:val="FootnoteReference"/>
          <w:rFonts w:ascii="Times New Roman" w:hAnsi="Times New Roman" w:cs="Times New Roman"/>
        </w:rPr>
        <w:footnoteReference w:id="24"/>
      </w:r>
      <w:r w:rsidRPr="00163D0E">
        <w:rPr>
          <w:rFonts w:ascii="Times New Roman" w:hAnsi="Times New Roman" w:cs="Times New Roman"/>
        </w:rPr>
        <w:t>. Adult qualification levels are well below the national average, with only 23% of Blackpool residents being qualified at level 4, compared to a national average of 34%. Addressing these significant employment and skills gaps is a core strategic objective for both the College and the Council.</w:t>
      </w:r>
    </w:p>
    <w:p w:rsidRPr="00163D0E" w:rsidR="00C3710A" w:rsidP="00036E1F" w:rsidRDefault="00C3710A" w14:paraId="15BCBFB9" w14:textId="77777777">
      <w:pPr>
        <w:pStyle w:val="ListParagraph"/>
        <w:spacing w:line="360" w:lineRule="auto"/>
        <w:rPr>
          <w:rFonts w:ascii="Times New Roman" w:hAnsi="Times New Roman" w:cs="Times New Roman"/>
        </w:rPr>
      </w:pPr>
    </w:p>
    <w:p w:rsidRPr="00163D0E" w:rsidR="00C3710A" w:rsidP="00036E1F" w:rsidRDefault="00C3710A" w14:paraId="2A9C39DA" w14:textId="2FBECB42">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Multiversity scheme will deliver new, cutting-edge facilities, and will maximise opportunities for technical and professional education, training and excellence. It will enable Blackpool College to deliver a new approach to post – 18 learning, focussing on stand – alone level 4 and 5 qualifications and flexible learning, integrated within work-based learning and degree apprenticeships</w:t>
      </w:r>
      <w:r w:rsidRPr="00163D0E" w:rsidR="00A9348F">
        <w:rPr>
          <w:rFonts w:ascii="Times New Roman" w:hAnsi="Times New Roman" w:cs="Times New Roman"/>
        </w:rPr>
        <w:t>, directly linked to employment opportunities.</w:t>
      </w:r>
    </w:p>
    <w:p w:rsidRPr="00163D0E" w:rsidR="00C3710A" w:rsidP="00036E1F" w:rsidRDefault="00C3710A" w14:paraId="755FD49F" w14:textId="77777777">
      <w:pPr>
        <w:pStyle w:val="ListParagraph"/>
        <w:spacing w:line="360" w:lineRule="auto"/>
        <w:rPr>
          <w:rFonts w:ascii="Times New Roman" w:hAnsi="Times New Roman" w:cs="Times New Roman"/>
        </w:rPr>
      </w:pPr>
    </w:p>
    <w:p w:rsidRPr="00163D0E" w:rsidR="005812AB" w:rsidP="00036E1F" w:rsidRDefault="00C3710A" w14:paraId="24991EA6" w14:textId="7BB87EE2">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college’s existing facilities are aged and are not fit for modern educational purposes</w:t>
      </w:r>
      <w:r w:rsidRPr="00163D0E" w:rsidR="00A9348F">
        <w:rPr>
          <w:rFonts w:ascii="Times New Roman" w:hAnsi="Times New Roman" w:cs="Times New Roman"/>
        </w:rPr>
        <w:t>, and cannot be repurposed</w:t>
      </w:r>
      <w:r w:rsidRPr="00163D0E" w:rsidR="00B25E42">
        <w:rPr>
          <w:rFonts w:ascii="Times New Roman" w:hAnsi="Times New Roman" w:cs="Times New Roman"/>
        </w:rPr>
        <w:t xml:space="preserve"> or adapted</w:t>
      </w:r>
      <w:r w:rsidRPr="00163D0E" w:rsidR="00A9348F">
        <w:rPr>
          <w:rFonts w:ascii="Times New Roman" w:hAnsi="Times New Roman" w:cs="Times New Roman"/>
        </w:rPr>
        <w:t xml:space="preserve"> to deliver the objectives of the scheme</w:t>
      </w:r>
      <w:r w:rsidRPr="00163D0E">
        <w:rPr>
          <w:rFonts w:ascii="Times New Roman" w:hAnsi="Times New Roman" w:cs="Times New Roman"/>
        </w:rPr>
        <w:t xml:space="preserve">. The spaces are not adaptable, accessible or flexible, </w:t>
      </w:r>
      <w:r w:rsidRPr="00163D0E" w:rsidR="009B4716">
        <w:rPr>
          <w:rFonts w:ascii="Times New Roman" w:hAnsi="Times New Roman" w:cs="Times New Roman"/>
        </w:rPr>
        <w:t xml:space="preserve">and </w:t>
      </w:r>
      <w:r w:rsidRPr="00163D0E">
        <w:rPr>
          <w:rFonts w:ascii="Times New Roman" w:hAnsi="Times New Roman" w:cs="Times New Roman"/>
        </w:rPr>
        <w:t>inhibit new methods of innovative and flexible delivery</w:t>
      </w:r>
      <w:r w:rsidRPr="00163D0E">
        <w:rPr>
          <w:rStyle w:val="FootnoteReference"/>
          <w:rFonts w:ascii="Times New Roman" w:hAnsi="Times New Roman" w:cs="Times New Roman"/>
        </w:rPr>
        <w:footnoteReference w:id="25"/>
      </w:r>
      <w:r w:rsidRPr="00163D0E">
        <w:rPr>
          <w:rFonts w:ascii="Times New Roman" w:hAnsi="Times New Roman" w:cs="Times New Roman"/>
        </w:rPr>
        <w:t>. Re- development of the site would not be viable</w:t>
      </w:r>
      <w:r w:rsidRPr="00163D0E" w:rsidR="005812AB">
        <w:rPr>
          <w:rStyle w:val="FootnoteReference"/>
          <w:rFonts w:ascii="Times New Roman" w:hAnsi="Times New Roman" w:cs="Times New Roman"/>
        </w:rPr>
        <w:footnoteReference w:id="26"/>
      </w:r>
      <w:r w:rsidRPr="00163D0E">
        <w:rPr>
          <w:rFonts w:ascii="Times New Roman" w:hAnsi="Times New Roman" w:cs="Times New Roman"/>
        </w:rPr>
        <w:t xml:space="preserve"> or feasible having regard to the need to accommodate existing students</w:t>
      </w:r>
      <w:r w:rsidRPr="00163D0E" w:rsidR="005812AB">
        <w:rPr>
          <w:rFonts w:ascii="Times New Roman" w:hAnsi="Times New Roman" w:cs="Times New Roman"/>
        </w:rPr>
        <w:t xml:space="preserve"> during a 3 – 4 year rebuild</w:t>
      </w:r>
      <w:r w:rsidRPr="00163D0E" w:rsidR="005812AB">
        <w:rPr>
          <w:rStyle w:val="FootnoteReference"/>
          <w:rFonts w:ascii="Times New Roman" w:hAnsi="Times New Roman" w:cs="Times New Roman"/>
        </w:rPr>
        <w:footnoteReference w:id="27"/>
      </w:r>
      <w:r w:rsidRPr="00163D0E">
        <w:rPr>
          <w:rFonts w:ascii="Times New Roman" w:hAnsi="Times New Roman" w:cs="Times New Roman"/>
        </w:rPr>
        <w:t>.</w:t>
      </w:r>
    </w:p>
    <w:p w:rsidRPr="00163D0E" w:rsidR="005812AB" w:rsidP="00036E1F" w:rsidRDefault="005812AB" w14:paraId="21399AE7" w14:textId="77777777">
      <w:pPr>
        <w:pStyle w:val="ListParagraph"/>
        <w:spacing w:line="360" w:lineRule="auto"/>
        <w:rPr>
          <w:rFonts w:ascii="Times New Roman" w:hAnsi="Times New Roman" w:cs="Times New Roman"/>
        </w:rPr>
      </w:pPr>
    </w:p>
    <w:p w:rsidRPr="00163D0E" w:rsidR="005812AB" w:rsidP="00036E1F" w:rsidRDefault="005812AB" w14:paraId="604052C6" w14:textId="39DD4259">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 </w:t>
      </w:r>
      <w:r w:rsidRPr="00163D0E" w:rsidR="00C3710A">
        <w:rPr>
          <w:rFonts w:ascii="Times New Roman" w:hAnsi="Times New Roman" w:cs="Times New Roman"/>
        </w:rPr>
        <w:t xml:space="preserve"> In contrast, </w:t>
      </w:r>
      <w:r w:rsidRPr="00163D0E" w:rsidR="00B25E42">
        <w:rPr>
          <w:rFonts w:ascii="Times New Roman" w:hAnsi="Times New Roman" w:cs="Times New Roman"/>
        </w:rPr>
        <w:t>and as explained by</w:t>
      </w:r>
      <w:r w:rsidRPr="00163D0E" w:rsidR="001C02D1">
        <w:rPr>
          <w:rFonts w:ascii="Times New Roman" w:hAnsi="Times New Roman" w:cs="Times New Roman"/>
        </w:rPr>
        <w:t xml:space="preserve"> Mr. Mulvey and</w:t>
      </w:r>
      <w:r w:rsidRPr="00163D0E" w:rsidR="00B25E42">
        <w:rPr>
          <w:rFonts w:ascii="Times New Roman" w:hAnsi="Times New Roman" w:cs="Times New Roman"/>
        </w:rPr>
        <w:t xml:space="preserve"> Ms. Tonkinson (“KT”), </w:t>
      </w:r>
      <w:r w:rsidRPr="00163D0E" w:rsidR="00C3710A">
        <w:rPr>
          <w:rFonts w:ascii="Times New Roman" w:hAnsi="Times New Roman" w:cs="Times New Roman"/>
        </w:rPr>
        <w:t>the Multiversity building has been specifically designed to accommodate modern technology,</w:t>
      </w:r>
      <w:r w:rsidRPr="00163D0E" w:rsidR="009B4716">
        <w:rPr>
          <w:rFonts w:ascii="Times New Roman" w:hAnsi="Times New Roman" w:cs="Times New Roman"/>
        </w:rPr>
        <w:t xml:space="preserve"> to allow a high degree of digital connectivity,</w:t>
      </w:r>
      <w:r w:rsidRPr="00163D0E" w:rsidR="00C3710A">
        <w:rPr>
          <w:rFonts w:ascii="Times New Roman" w:hAnsi="Times New Roman" w:cs="Times New Roman"/>
        </w:rPr>
        <w:t xml:space="preserve"> and </w:t>
      </w:r>
      <w:r w:rsidRPr="00163D0E" w:rsidR="009B4716">
        <w:rPr>
          <w:rFonts w:ascii="Times New Roman" w:hAnsi="Times New Roman" w:cs="Times New Roman"/>
        </w:rPr>
        <w:t xml:space="preserve">to facilitate </w:t>
      </w:r>
      <w:r w:rsidRPr="00163D0E" w:rsidR="00C3710A">
        <w:rPr>
          <w:rFonts w:ascii="Times New Roman" w:hAnsi="Times New Roman" w:cs="Times New Roman"/>
        </w:rPr>
        <w:t xml:space="preserve">flexible </w:t>
      </w:r>
      <w:r w:rsidRPr="00163D0E" w:rsidR="00E47E53">
        <w:rPr>
          <w:rFonts w:ascii="Times New Roman" w:hAnsi="Times New Roman" w:cs="Times New Roman"/>
        </w:rPr>
        <w:t xml:space="preserve">teaching </w:t>
      </w:r>
      <w:r w:rsidRPr="00163D0E" w:rsidR="00C3710A">
        <w:rPr>
          <w:rFonts w:ascii="Times New Roman" w:hAnsi="Times New Roman" w:cs="Times New Roman"/>
        </w:rPr>
        <w:t>and learning spaces</w:t>
      </w:r>
      <w:r w:rsidRPr="00163D0E" w:rsidR="009B4716">
        <w:rPr>
          <w:rFonts w:ascii="Times New Roman" w:hAnsi="Times New Roman" w:cs="Times New Roman"/>
        </w:rPr>
        <w:t xml:space="preserve"> that can be tailored to the needs of the lesson and enable the best use of technology</w:t>
      </w:r>
      <w:r w:rsidRPr="00163D0E" w:rsidR="00B25E42">
        <w:rPr>
          <w:rFonts w:ascii="Times New Roman" w:hAnsi="Times New Roman" w:cs="Times New Roman"/>
        </w:rPr>
        <w:t xml:space="preserve">. These combine with social and collaboration spaces, flexible event spaces and presentation </w:t>
      </w:r>
      <w:r w:rsidRPr="00163D0E" w:rsidR="00B44505">
        <w:rPr>
          <w:rFonts w:ascii="Times New Roman" w:hAnsi="Times New Roman" w:cs="Times New Roman"/>
        </w:rPr>
        <w:t>space</w:t>
      </w:r>
      <w:r w:rsidRPr="00163D0E" w:rsidR="00B25E42">
        <w:rPr>
          <w:rFonts w:ascii="Times New Roman" w:hAnsi="Times New Roman" w:cs="Times New Roman"/>
        </w:rPr>
        <w:t xml:space="preserve"> to deliver</w:t>
      </w:r>
      <w:r w:rsidRPr="00163D0E">
        <w:rPr>
          <w:rFonts w:ascii="Times New Roman" w:hAnsi="Times New Roman" w:cs="Times New Roman"/>
        </w:rPr>
        <w:t xml:space="preserve"> a truly modern, inspiring</w:t>
      </w:r>
      <w:r w:rsidRPr="00163D0E" w:rsidR="00E47E53">
        <w:rPr>
          <w:rFonts w:ascii="Times New Roman" w:hAnsi="Times New Roman" w:cs="Times New Roman"/>
        </w:rPr>
        <w:t xml:space="preserve">, </w:t>
      </w:r>
      <w:r w:rsidRPr="00163D0E">
        <w:rPr>
          <w:rFonts w:ascii="Times New Roman" w:hAnsi="Times New Roman" w:cs="Times New Roman"/>
        </w:rPr>
        <w:t>innovative</w:t>
      </w:r>
      <w:r w:rsidRPr="00163D0E" w:rsidR="00B25E42">
        <w:rPr>
          <w:rFonts w:ascii="Times New Roman" w:hAnsi="Times New Roman" w:cs="Times New Roman"/>
        </w:rPr>
        <w:t>, and inclusive</w:t>
      </w:r>
      <w:r w:rsidRPr="00163D0E">
        <w:rPr>
          <w:rFonts w:ascii="Times New Roman" w:hAnsi="Times New Roman" w:cs="Times New Roman"/>
        </w:rPr>
        <w:t xml:space="preserve"> teaching environment. </w:t>
      </w:r>
      <w:r w:rsidRPr="00163D0E" w:rsidR="00A9348F">
        <w:rPr>
          <w:rFonts w:ascii="Times New Roman" w:hAnsi="Times New Roman" w:cs="Times New Roman"/>
        </w:rPr>
        <w:t>The facilities will be, in the words of AM</w:t>
      </w:r>
      <w:r w:rsidRPr="00163D0E" w:rsidR="00A9348F">
        <w:rPr>
          <w:rStyle w:val="FootnoteReference"/>
          <w:rFonts w:ascii="Times New Roman" w:hAnsi="Times New Roman" w:cs="Times New Roman"/>
        </w:rPr>
        <w:footnoteReference w:id="28"/>
      </w:r>
      <w:r w:rsidRPr="00163D0E" w:rsidR="00A9348F">
        <w:rPr>
          <w:rFonts w:ascii="Times New Roman" w:hAnsi="Times New Roman" w:cs="Times New Roman"/>
        </w:rPr>
        <w:t xml:space="preserve">, </w:t>
      </w:r>
      <w:r w:rsidRPr="00163D0E" w:rsidR="00A9348F">
        <w:rPr>
          <w:rFonts w:ascii="Times New Roman" w:hAnsi="Times New Roman" w:cs="Times New Roman"/>
          <w:i/>
          <w:iCs/>
        </w:rPr>
        <w:t>“truly world class”.</w:t>
      </w:r>
      <w:r w:rsidRPr="00163D0E" w:rsidR="00B25E42">
        <w:rPr>
          <w:rFonts w:ascii="Times New Roman" w:hAnsi="Times New Roman" w:cs="Times New Roman"/>
          <w:i/>
          <w:iCs/>
        </w:rPr>
        <w:t xml:space="preserve"> </w:t>
      </w:r>
    </w:p>
    <w:p w:rsidRPr="00163D0E" w:rsidR="00A9348F" w:rsidP="00036E1F" w:rsidRDefault="00A9348F" w14:paraId="42E5AE89" w14:textId="77777777">
      <w:pPr>
        <w:pStyle w:val="ListParagraph"/>
        <w:spacing w:line="360" w:lineRule="auto"/>
        <w:rPr>
          <w:rFonts w:ascii="Times New Roman" w:hAnsi="Times New Roman" w:cs="Times New Roman"/>
        </w:rPr>
      </w:pPr>
    </w:p>
    <w:p w:rsidRPr="00163D0E" w:rsidR="00147617" w:rsidP="001C02D1" w:rsidRDefault="00A9348F" w14:paraId="625FB0F8" w14:textId="784714F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Phase 2 of the scheme is, and has always been, an integral part of the scheme proposed</w:t>
      </w:r>
      <w:r w:rsidRPr="00163D0E">
        <w:rPr>
          <w:rStyle w:val="FootnoteReference"/>
          <w:rFonts w:ascii="Times New Roman" w:hAnsi="Times New Roman" w:cs="Times New Roman"/>
        </w:rPr>
        <w:footnoteReference w:id="29"/>
      </w:r>
      <w:r w:rsidRPr="00163D0E" w:rsidR="00E564B8">
        <w:rPr>
          <w:rFonts w:ascii="Times New Roman" w:hAnsi="Times New Roman" w:cs="Times New Roman"/>
        </w:rPr>
        <w:t xml:space="preserve">. It </w:t>
      </w:r>
      <w:r w:rsidRPr="00163D0E">
        <w:rPr>
          <w:rFonts w:ascii="Times New Roman" w:hAnsi="Times New Roman" w:cs="Times New Roman"/>
        </w:rPr>
        <w:t>has received partial funding as part of the whole (for site acquisition and clearance – see further section on funding below)</w:t>
      </w:r>
      <w:r w:rsidRPr="00163D0E" w:rsidR="00E564B8">
        <w:rPr>
          <w:rFonts w:ascii="Times New Roman" w:hAnsi="Times New Roman" w:cs="Times New Roman"/>
        </w:rPr>
        <w:t xml:space="preserve">, and, as </w:t>
      </w:r>
      <w:r w:rsidRPr="00163D0E" w:rsidR="00B25E42">
        <w:rPr>
          <w:rFonts w:ascii="Times New Roman" w:hAnsi="Times New Roman" w:cs="Times New Roman"/>
        </w:rPr>
        <w:t>KT explained</w:t>
      </w:r>
      <w:r w:rsidRPr="00163D0E" w:rsidR="00E564B8">
        <w:rPr>
          <w:rFonts w:ascii="Times New Roman" w:hAnsi="Times New Roman" w:cs="Times New Roman"/>
        </w:rPr>
        <w:t xml:space="preserve">, the masterplan is for the </w:t>
      </w:r>
      <w:proofErr w:type="gramStart"/>
      <w:r w:rsidRPr="00163D0E" w:rsidR="00E564B8">
        <w:rPr>
          <w:rFonts w:ascii="Times New Roman" w:hAnsi="Times New Roman" w:cs="Times New Roman"/>
        </w:rPr>
        <w:t>site as a whole</w:t>
      </w:r>
      <w:proofErr w:type="gramEnd"/>
      <w:r w:rsidRPr="00163D0E" w:rsidR="00E564B8">
        <w:rPr>
          <w:rFonts w:ascii="Times New Roman" w:hAnsi="Times New Roman" w:cs="Times New Roman"/>
        </w:rPr>
        <w:t>. The</w:t>
      </w:r>
      <w:r w:rsidRPr="00163D0E">
        <w:rPr>
          <w:rFonts w:ascii="Times New Roman" w:hAnsi="Times New Roman" w:cs="Times New Roman"/>
        </w:rPr>
        <w:t xml:space="preserve"> evidence of AM demonstrates that the college will require additional expansion space within a 3– 5-year period to accommodate its student projections, demand forecasts, and proposed curriculum offer</w:t>
      </w:r>
      <w:r w:rsidRPr="00163D0E">
        <w:rPr>
          <w:rStyle w:val="FootnoteReference"/>
          <w:rFonts w:ascii="Times New Roman" w:hAnsi="Times New Roman" w:cs="Times New Roman"/>
        </w:rPr>
        <w:footnoteReference w:id="30"/>
      </w:r>
      <w:r w:rsidRPr="00163D0E">
        <w:rPr>
          <w:rFonts w:ascii="Times New Roman" w:hAnsi="Times New Roman" w:cs="Times New Roman"/>
        </w:rPr>
        <w:t>. There is, therefore, a clear capacity – led requirement for the additional space, and it is critical that this space is co-located with Phase 1 to ensure that facilities are fully integrated, accessible, and of the highest quality. The delivery of Phase 2 is a strategic priority for the College and is</w:t>
      </w:r>
      <w:r w:rsidRPr="00163D0E" w:rsidR="00147617">
        <w:rPr>
          <w:rFonts w:ascii="Times New Roman" w:hAnsi="Times New Roman" w:cs="Times New Roman"/>
        </w:rPr>
        <w:t>, in the opinion of the College</w:t>
      </w:r>
      <w:r w:rsidRPr="00163D0E">
        <w:rPr>
          <w:rFonts w:ascii="Times New Roman" w:hAnsi="Times New Roman" w:cs="Times New Roman"/>
        </w:rPr>
        <w:t xml:space="preserve"> </w:t>
      </w:r>
      <w:r w:rsidRPr="00163D0E">
        <w:rPr>
          <w:rFonts w:ascii="Times New Roman" w:hAnsi="Times New Roman" w:cs="Times New Roman"/>
          <w:i/>
          <w:iCs/>
        </w:rPr>
        <w:t>“absolutely essential”</w:t>
      </w:r>
      <w:r w:rsidRPr="00163D0E">
        <w:rPr>
          <w:rFonts w:ascii="Times New Roman" w:hAnsi="Times New Roman" w:cs="Times New Roman"/>
        </w:rPr>
        <w:t xml:space="preserve"> to the </w:t>
      </w:r>
      <w:r w:rsidRPr="00163D0E" w:rsidR="00936AAB">
        <w:rPr>
          <w:rFonts w:ascii="Times New Roman" w:hAnsi="Times New Roman" w:cs="Times New Roman"/>
        </w:rPr>
        <w:t xml:space="preserve">holistic </w:t>
      </w:r>
      <w:r w:rsidRPr="00163D0E" w:rsidR="00147617">
        <w:rPr>
          <w:rFonts w:ascii="Times New Roman" w:hAnsi="Times New Roman" w:cs="Times New Roman"/>
        </w:rPr>
        <w:t>delivery of its objectives</w:t>
      </w:r>
      <w:r w:rsidRPr="00163D0E">
        <w:rPr>
          <w:rStyle w:val="FootnoteReference"/>
          <w:rFonts w:ascii="Times New Roman" w:hAnsi="Times New Roman" w:cs="Times New Roman"/>
        </w:rPr>
        <w:footnoteReference w:id="31"/>
      </w:r>
      <w:r w:rsidRPr="00163D0E">
        <w:rPr>
          <w:rFonts w:ascii="Times New Roman" w:hAnsi="Times New Roman" w:cs="Times New Roman"/>
        </w:rPr>
        <w:t>.</w:t>
      </w:r>
    </w:p>
    <w:p w:rsidRPr="00163D0E" w:rsidR="001C02D1" w:rsidP="001C02D1" w:rsidRDefault="001C02D1" w14:paraId="7AE49970" w14:textId="77777777">
      <w:pPr>
        <w:pStyle w:val="ListParagraph"/>
        <w:rPr>
          <w:rFonts w:ascii="Times New Roman" w:hAnsi="Times New Roman" w:cs="Times New Roman"/>
        </w:rPr>
      </w:pPr>
    </w:p>
    <w:p w:rsidRPr="00163D0E" w:rsidR="00A9348F" w:rsidP="001C02D1" w:rsidRDefault="00A9348F" w14:paraId="5B196CC5" w14:textId="2B0982EB">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w:t>
      </w:r>
      <w:r w:rsidRPr="00163D0E" w:rsidR="00B25E42">
        <w:rPr>
          <w:rFonts w:ascii="Times New Roman" w:hAnsi="Times New Roman" w:cs="Times New Roman"/>
        </w:rPr>
        <w:t>central</w:t>
      </w:r>
      <w:r w:rsidRPr="00163D0E">
        <w:rPr>
          <w:rFonts w:ascii="Times New Roman" w:hAnsi="Times New Roman" w:cs="Times New Roman"/>
        </w:rPr>
        <w:t xml:space="preserve"> location of the Multiversity is also critical to the realisation of the benefits to be achieved.</w:t>
      </w:r>
    </w:p>
    <w:p w:rsidRPr="00163D0E" w:rsidR="00A9348F" w:rsidP="00036E1F" w:rsidRDefault="00A9348F" w14:paraId="796EB63A" w14:textId="77777777">
      <w:pPr>
        <w:pStyle w:val="ListParagraph"/>
        <w:spacing w:line="360" w:lineRule="auto"/>
        <w:rPr>
          <w:rFonts w:ascii="Times New Roman" w:hAnsi="Times New Roman" w:cs="Times New Roman"/>
        </w:rPr>
      </w:pPr>
    </w:p>
    <w:p w:rsidRPr="00163D0E" w:rsidR="00A9348F" w:rsidP="00036E1F" w:rsidRDefault="00A9348F" w14:paraId="3858C814" w14:textId="7A8116E3">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First, s</w:t>
      </w:r>
      <w:r w:rsidRPr="00163D0E" w:rsidR="005812AB">
        <w:rPr>
          <w:rFonts w:ascii="Times New Roman" w:hAnsi="Times New Roman" w:cs="Times New Roman"/>
        </w:rPr>
        <w:t xml:space="preserve">afe, convenient access to new, high quality public transport connections </w:t>
      </w:r>
      <w:r w:rsidRPr="00163D0E">
        <w:rPr>
          <w:rFonts w:ascii="Times New Roman" w:hAnsi="Times New Roman" w:cs="Times New Roman"/>
        </w:rPr>
        <w:t xml:space="preserve">will </w:t>
      </w:r>
      <w:r w:rsidRPr="00163D0E" w:rsidR="005812AB">
        <w:rPr>
          <w:rFonts w:ascii="Times New Roman" w:hAnsi="Times New Roman" w:cs="Times New Roman"/>
        </w:rPr>
        <w:t xml:space="preserve">maximise the accessibility of the educational opportunities that the Multiversity will bring to the residents of Blackpool, encouraging the retention of young people as students within the town, and attracting new students from outside Blackpool. </w:t>
      </w:r>
      <w:r w:rsidRPr="00163D0E" w:rsidR="00E9787B">
        <w:rPr>
          <w:rFonts w:ascii="Times New Roman" w:hAnsi="Times New Roman" w:cs="Times New Roman"/>
        </w:rPr>
        <w:t>Encouraging the use of active travel through walking, cycling, and the use of high-quality public transport links is integral to the scheme, and will bring clear social and environmental benefits.</w:t>
      </w:r>
    </w:p>
    <w:p w:rsidRPr="00163D0E" w:rsidR="00A9348F" w:rsidP="00036E1F" w:rsidRDefault="00A9348F" w14:paraId="41007857" w14:textId="77777777">
      <w:pPr>
        <w:pStyle w:val="ListParagraph"/>
        <w:spacing w:line="360" w:lineRule="auto"/>
        <w:rPr>
          <w:rFonts w:ascii="Times New Roman" w:hAnsi="Times New Roman" w:cs="Times New Roman"/>
        </w:rPr>
      </w:pPr>
    </w:p>
    <w:p w:rsidRPr="00163D0E" w:rsidR="00E9787B" w:rsidP="00036E1F" w:rsidRDefault="00A9348F" w14:paraId="0D9714D2" w14:textId="7777777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Second, t</w:t>
      </w:r>
      <w:r w:rsidRPr="00163D0E" w:rsidR="005812AB">
        <w:rPr>
          <w:rFonts w:ascii="Times New Roman" w:hAnsi="Times New Roman" w:cs="Times New Roman"/>
        </w:rPr>
        <w:t xml:space="preserve">he central location co-location of the facility with other regeneration schemes, including the Council offices, Civil Service Hub, and the proximity of other employers, will facilitate the creation of long-term relationships between employers and business partners, enhancing both the educational offer and employment prospects within the town. </w:t>
      </w:r>
    </w:p>
    <w:p w:rsidRPr="00163D0E" w:rsidR="00E9787B" w:rsidP="00036E1F" w:rsidRDefault="00E9787B" w14:paraId="78066619" w14:textId="77777777">
      <w:pPr>
        <w:pStyle w:val="ListParagraph"/>
        <w:spacing w:line="360" w:lineRule="auto"/>
        <w:rPr>
          <w:rFonts w:ascii="Times New Roman" w:hAnsi="Times New Roman" w:cs="Times New Roman"/>
        </w:rPr>
      </w:pPr>
    </w:p>
    <w:p w:rsidRPr="00163D0E" w:rsidR="00A9348F" w:rsidP="00036E1F" w:rsidRDefault="00A9348F" w14:paraId="499E8042" w14:textId="17A7709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lastRenderedPageBreak/>
        <w:t>Third, and critically, the location of this iconic Multiversity building, with its “world -</w:t>
      </w:r>
      <w:r w:rsidRPr="00163D0E" w:rsidR="00B25E42">
        <w:rPr>
          <w:rFonts w:ascii="Times New Roman" w:hAnsi="Times New Roman" w:cs="Times New Roman"/>
        </w:rPr>
        <w:t>class” facilities</w:t>
      </w:r>
      <w:r w:rsidRPr="00163D0E">
        <w:rPr>
          <w:rStyle w:val="FootnoteReference"/>
          <w:rFonts w:ascii="Times New Roman" w:hAnsi="Times New Roman" w:cs="Times New Roman"/>
        </w:rPr>
        <w:footnoteReference w:id="32"/>
      </w:r>
      <w:r w:rsidRPr="00163D0E">
        <w:rPr>
          <w:rFonts w:ascii="Times New Roman" w:hAnsi="Times New Roman" w:cs="Times New Roman"/>
        </w:rPr>
        <w:t xml:space="preserve">, in this central location will raise the profile of higher-level skills education in the town, becoming a much-needed visible focal point for educational opportunity, achievement, and aspiration. </w:t>
      </w:r>
    </w:p>
    <w:p w:rsidRPr="00163D0E" w:rsidR="00A9348F" w:rsidP="00036E1F" w:rsidRDefault="00A9348F" w14:paraId="60AB35CC" w14:textId="77777777">
      <w:pPr>
        <w:pStyle w:val="ListParagraph"/>
        <w:spacing w:line="360" w:lineRule="auto"/>
        <w:rPr>
          <w:rFonts w:ascii="Times New Roman" w:hAnsi="Times New Roman" w:cs="Times New Roman"/>
        </w:rPr>
      </w:pPr>
    </w:p>
    <w:p w:rsidRPr="00163D0E" w:rsidR="00C3710A" w:rsidP="00036E1F" w:rsidRDefault="00A9348F" w14:paraId="0063A044" w14:textId="405BD6B4">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In short, t</w:t>
      </w:r>
      <w:r w:rsidRPr="00163D0E" w:rsidR="00C3710A">
        <w:rPr>
          <w:rFonts w:ascii="Times New Roman" w:hAnsi="Times New Roman" w:cs="Times New Roman"/>
        </w:rPr>
        <w:t xml:space="preserve">he Multiversity scheme will provide </w:t>
      </w:r>
      <w:r w:rsidRPr="00163D0E" w:rsidR="00E564B8">
        <w:rPr>
          <w:rFonts w:ascii="Times New Roman" w:hAnsi="Times New Roman" w:cs="Times New Roman"/>
        </w:rPr>
        <w:t xml:space="preserve">very </w:t>
      </w:r>
      <w:r w:rsidRPr="00163D0E" w:rsidR="00C3710A">
        <w:rPr>
          <w:rFonts w:ascii="Times New Roman" w:hAnsi="Times New Roman" w:cs="Times New Roman"/>
        </w:rPr>
        <w:t>significant opportunities</w:t>
      </w:r>
      <w:r w:rsidRPr="00163D0E" w:rsidR="00E564B8">
        <w:rPr>
          <w:rFonts w:ascii="Times New Roman" w:hAnsi="Times New Roman" w:cs="Times New Roman"/>
        </w:rPr>
        <w:t xml:space="preserve"> for improv</w:t>
      </w:r>
      <w:r w:rsidRPr="00163D0E" w:rsidR="00371C56">
        <w:rPr>
          <w:rFonts w:ascii="Times New Roman" w:hAnsi="Times New Roman" w:cs="Times New Roman"/>
        </w:rPr>
        <w:t>ing</w:t>
      </w:r>
      <w:r w:rsidRPr="00163D0E" w:rsidR="00E564B8">
        <w:rPr>
          <w:rFonts w:ascii="Times New Roman" w:hAnsi="Times New Roman" w:cs="Times New Roman"/>
        </w:rPr>
        <w:t xml:space="preserve"> educational, </w:t>
      </w:r>
      <w:r w:rsidRPr="00163D0E" w:rsidR="00C3710A">
        <w:rPr>
          <w:rFonts w:ascii="Times New Roman" w:hAnsi="Times New Roman" w:cs="Times New Roman"/>
        </w:rPr>
        <w:t>economic and employment prospects</w:t>
      </w:r>
      <w:r w:rsidRPr="00163D0E" w:rsidR="00E564B8">
        <w:rPr>
          <w:rFonts w:ascii="Times New Roman" w:hAnsi="Times New Roman" w:cs="Times New Roman"/>
        </w:rPr>
        <w:t>, together with social well – being and mobility</w:t>
      </w:r>
      <w:r w:rsidRPr="00163D0E" w:rsidR="00C3710A">
        <w:rPr>
          <w:rStyle w:val="FootnoteReference"/>
          <w:rFonts w:ascii="Times New Roman" w:hAnsi="Times New Roman" w:cs="Times New Roman"/>
        </w:rPr>
        <w:footnoteReference w:id="33"/>
      </w:r>
      <w:r w:rsidRPr="00163D0E" w:rsidR="00C3710A">
        <w:rPr>
          <w:rFonts w:ascii="Times New Roman" w:hAnsi="Times New Roman" w:cs="Times New Roman"/>
        </w:rPr>
        <w:t>, in</w:t>
      </w:r>
      <w:r w:rsidRPr="00163D0E">
        <w:rPr>
          <w:rFonts w:ascii="Times New Roman" w:hAnsi="Times New Roman" w:cs="Times New Roman"/>
        </w:rPr>
        <w:t xml:space="preserve"> a</w:t>
      </w:r>
      <w:r w:rsidRPr="00163D0E" w:rsidR="00E564B8">
        <w:rPr>
          <w:rFonts w:ascii="Times New Roman" w:hAnsi="Times New Roman" w:cs="Times New Roman"/>
        </w:rPr>
        <w:t xml:space="preserve"> highly accessible central</w:t>
      </w:r>
      <w:r w:rsidRPr="00163D0E">
        <w:rPr>
          <w:rFonts w:ascii="Times New Roman" w:hAnsi="Times New Roman" w:cs="Times New Roman"/>
        </w:rPr>
        <w:t xml:space="preserve"> location</w:t>
      </w:r>
      <w:r w:rsidRPr="00163D0E" w:rsidR="00371C56">
        <w:rPr>
          <w:rFonts w:ascii="Times New Roman" w:hAnsi="Times New Roman" w:cs="Times New Roman"/>
        </w:rPr>
        <w:t>,</w:t>
      </w:r>
      <w:r w:rsidRPr="00163D0E">
        <w:rPr>
          <w:rFonts w:ascii="Times New Roman" w:hAnsi="Times New Roman" w:cs="Times New Roman"/>
        </w:rPr>
        <w:t xml:space="preserve"> that can become a focal point for aspiration and achievement, and</w:t>
      </w:r>
      <w:r w:rsidRPr="00163D0E" w:rsidR="00C3710A">
        <w:rPr>
          <w:rFonts w:ascii="Times New Roman" w:hAnsi="Times New Roman" w:cs="Times New Roman"/>
        </w:rPr>
        <w:t xml:space="preserve"> </w:t>
      </w:r>
      <w:r w:rsidRPr="00163D0E" w:rsidR="00E564B8">
        <w:rPr>
          <w:rFonts w:ascii="Times New Roman" w:hAnsi="Times New Roman" w:cs="Times New Roman"/>
        </w:rPr>
        <w:t>in a town</w:t>
      </w:r>
      <w:r w:rsidRPr="00163D0E" w:rsidR="00C3710A">
        <w:rPr>
          <w:rFonts w:ascii="Times New Roman" w:hAnsi="Times New Roman" w:cs="Times New Roman"/>
        </w:rPr>
        <w:t xml:space="preserve"> where there is a</w:t>
      </w:r>
      <w:r w:rsidRPr="00163D0E">
        <w:rPr>
          <w:rFonts w:ascii="Times New Roman" w:hAnsi="Times New Roman" w:cs="Times New Roman"/>
        </w:rPr>
        <w:t>n acute and</w:t>
      </w:r>
      <w:r w:rsidRPr="00163D0E" w:rsidR="00C3710A">
        <w:rPr>
          <w:rFonts w:ascii="Times New Roman" w:hAnsi="Times New Roman" w:cs="Times New Roman"/>
        </w:rPr>
        <w:t xml:space="preserve"> critical need </w:t>
      </w:r>
      <w:r w:rsidRPr="00163D0E" w:rsidR="00E564B8">
        <w:rPr>
          <w:rFonts w:ascii="Times New Roman" w:hAnsi="Times New Roman" w:cs="Times New Roman"/>
        </w:rPr>
        <w:t>for</w:t>
      </w:r>
      <w:r w:rsidRPr="00163D0E">
        <w:rPr>
          <w:rFonts w:ascii="Times New Roman" w:hAnsi="Times New Roman" w:cs="Times New Roman"/>
        </w:rPr>
        <w:t xml:space="preserve"> the same. The </w:t>
      </w:r>
      <w:r w:rsidRPr="00163D0E" w:rsidR="00E564B8">
        <w:rPr>
          <w:rFonts w:ascii="Times New Roman" w:hAnsi="Times New Roman" w:cs="Times New Roman"/>
        </w:rPr>
        <w:t xml:space="preserve">Multiversity </w:t>
      </w:r>
      <w:r w:rsidRPr="00163D0E">
        <w:rPr>
          <w:rFonts w:ascii="Times New Roman" w:hAnsi="Times New Roman" w:cs="Times New Roman"/>
        </w:rPr>
        <w:t>scheme will clearly</w:t>
      </w:r>
      <w:r w:rsidRPr="00163D0E" w:rsidR="00E9787B">
        <w:rPr>
          <w:rFonts w:ascii="Times New Roman" w:hAnsi="Times New Roman" w:cs="Times New Roman"/>
        </w:rPr>
        <w:t xml:space="preserve"> </w:t>
      </w:r>
      <w:r w:rsidRPr="00163D0E">
        <w:rPr>
          <w:rFonts w:ascii="Times New Roman" w:hAnsi="Times New Roman" w:cs="Times New Roman"/>
        </w:rPr>
        <w:t>promote and improve the social and economic well – being of the area in all these respects.</w:t>
      </w:r>
    </w:p>
    <w:p w:rsidRPr="00163D0E" w:rsidR="00E9787B" w:rsidP="00036E1F" w:rsidRDefault="00E9787B" w14:paraId="079F54DE" w14:textId="77777777">
      <w:pPr>
        <w:pStyle w:val="ListParagraph"/>
        <w:spacing w:line="360" w:lineRule="auto"/>
        <w:rPr>
          <w:rFonts w:ascii="Times New Roman" w:hAnsi="Times New Roman" w:cs="Times New Roman"/>
        </w:rPr>
      </w:pPr>
    </w:p>
    <w:p w:rsidRPr="00163D0E" w:rsidR="00E9787B" w:rsidP="00036E1F" w:rsidRDefault="00E9787B" w14:paraId="23D042CC" w14:textId="54B62A69">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fostering of a vibrant and more diverse community, including the attraction of people from the wider and surrounding area and the encouragement of talent retention, will also bring social benefits, as well as contributing to the local economy and workforce. The </w:t>
      </w:r>
      <w:proofErr w:type="spellStart"/>
      <w:r w:rsidRPr="00163D0E">
        <w:rPr>
          <w:rFonts w:ascii="Times New Roman" w:hAnsi="Times New Roman" w:cs="Times New Roman"/>
        </w:rPr>
        <w:t>Amion</w:t>
      </w:r>
      <w:proofErr w:type="spellEnd"/>
      <w:r w:rsidRPr="00163D0E">
        <w:rPr>
          <w:rFonts w:ascii="Times New Roman" w:hAnsi="Times New Roman" w:cs="Times New Roman"/>
        </w:rPr>
        <w:t xml:space="preserve"> Report</w:t>
      </w:r>
      <w:r w:rsidRPr="00163D0E">
        <w:rPr>
          <w:rStyle w:val="FootnoteReference"/>
          <w:rFonts w:ascii="Times New Roman" w:hAnsi="Times New Roman" w:cs="Times New Roman"/>
        </w:rPr>
        <w:footnoteReference w:id="34"/>
      </w:r>
      <w:r w:rsidRPr="00163D0E">
        <w:rPr>
          <w:rFonts w:ascii="Times New Roman" w:hAnsi="Times New Roman" w:cs="Times New Roman"/>
        </w:rPr>
        <w:t xml:space="preserve"> demonstrates that the economic benefits will be significant, and include:</w:t>
      </w:r>
    </w:p>
    <w:p w:rsidRPr="00163D0E" w:rsidR="00E9787B" w:rsidP="00036E1F" w:rsidRDefault="00E9787B" w14:paraId="03BEC9A5" w14:textId="77777777">
      <w:pPr>
        <w:pStyle w:val="ListParagraph"/>
        <w:spacing w:line="360" w:lineRule="auto"/>
        <w:rPr>
          <w:rFonts w:ascii="Times New Roman" w:hAnsi="Times New Roman" w:cs="Times New Roman"/>
        </w:rPr>
      </w:pPr>
    </w:p>
    <w:p w:rsidRPr="00163D0E" w:rsidR="00E9787B" w:rsidP="00036E1F" w:rsidRDefault="00E9787B" w14:paraId="099066A7" w14:textId="43CF72D2">
      <w:pPr>
        <w:pStyle w:val="ListParagraph"/>
        <w:numPr>
          <w:ilvl w:val="0"/>
          <w:numId w:val="3"/>
        </w:numPr>
        <w:spacing w:line="360" w:lineRule="auto"/>
        <w:rPr>
          <w:rFonts w:ascii="Times New Roman" w:hAnsi="Times New Roman" w:cs="Times New Roman"/>
        </w:rPr>
      </w:pPr>
      <w:r w:rsidRPr="00163D0E">
        <w:rPr>
          <w:rFonts w:ascii="Times New Roman" w:hAnsi="Times New Roman" w:cs="Times New Roman"/>
        </w:rPr>
        <w:t>106 FTE construction jobs in Phase 1, and a further 124 – 66 construction jobs for phase 2</w:t>
      </w:r>
      <w:r w:rsidRPr="00163D0E">
        <w:rPr>
          <w:rStyle w:val="FootnoteReference"/>
          <w:rFonts w:ascii="Times New Roman" w:hAnsi="Times New Roman" w:cs="Times New Roman"/>
        </w:rPr>
        <w:footnoteReference w:id="35"/>
      </w:r>
      <w:r w:rsidRPr="00163D0E">
        <w:rPr>
          <w:rFonts w:ascii="Times New Roman" w:hAnsi="Times New Roman" w:cs="Times New Roman"/>
        </w:rPr>
        <w:t xml:space="preserve">. Gross construction Phase GVA is estimated at £21.87m for Phase 1, and </w:t>
      </w:r>
      <w:r w:rsidR="000B4ECD">
        <w:rPr>
          <w:rFonts w:ascii="Times New Roman" w:hAnsi="Times New Roman" w:cs="Times New Roman"/>
        </w:rPr>
        <w:t xml:space="preserve">a further </w:t>
      </w:r>
      <w:r w:rsidRPr="00163D0E">
        <w:rPr>
          <w:rFonts w:ascii="Times New Roman" w:hAnsi="Times New Roman" w:cs="Times New Roman"/>
        </w:rPr>
        <w:t>£25.60</w:t>
      </w:r>
      <w:r w:rsidR="000B4ECD">
        <w:rPr>
          <w:rFonts w:ascii="Times New Roman" w:hAnsi="Times New Roman" w:cs="Times New Roman"/>
        </w:rPr>
        <w:t>m</w:t>
      </w:r>
      <w:r w:rsidRPr="00163D0E">
        <w:rPr>
          <w:rFonts w:ascii="Times New Roman" w:hAnsi="Times New Roman" w:cs="Times New Roman"/>
        </w:rPr>
        <w:t xml:space="preserve"> - £13.58m for Phase 2</w:t>
      </w:r>
      <w:r w:rsidRPr="00163D0E" w:rsidR="00E93EA2">
        <w:rPr>
          <w:rStyle w:val="FootnoteReference"/>
          <w:rFonts w:ascii="Times New Roman" w:hAnsi="Times New Roman" w:cs="Times New Roman"/>
        </w:rPr>
        <w:footnoteReference w:id="36"/>
      </w:r>
      <w:r w:rsidRPr="00163D0E">
        <w:rPr>
          <w:rFonts w:ascii="Times New Roman" w:hAnsi="Times New Roman" w:cs="Times New Roman"/>
        </w:rPr>
        <w:t>.</w:t>
      </w:r>
    </w:p>
    <w:p w:rsidRPr="00163D0E" w:rsidR="00E9787B" w:rsidP="00036E1F" w:rsidRDefault="00E9787B" w14:paraId="17FA6EA3" w14:textId="77777777">
      <w:pPr>
        <w:pStyle w:val="ListParagraph"/>
        <w:spacing w:line="360" w:lineRule="auto"/>
        <w:ind w:left="1080"/>
        <w:rPr>
          <w:rFonts w:ascii="Times New Roman" w:hAnsi="Times New Roman" w:cs="Times New Roman"/>
        </w:rPr>
      </w:pPr>
    </w:p>
    <w:p w:rsidRPr="00163D0E" w:rsidR="00E9787B" w:rsidP="00036E1F" w:rsidRDefault="00E9787B" w14:paraId="553B8AB1" w14:textId="3F0116D6">
      <w:pPr>
        <w:pStyle w:val="ListParagraph"/>
        <w:numPr>
          <w:ilvl w:val="0"/>
          <w:numId w:val="3"/>
        </w:numPr>
        <w:spacing w:line="360" w:lineRule="auto"/>
        <w:rPr>
          <w:rFonts w:ascii="Times New Roman" w:hAnsi="Times New Roman" w:cs="Times New Roman"/>
        </w:rPr>
      </w:pPr>
      <w:r w:rsidRPr="00163D0E">
        <w:rPr>
          <w:rFonts w:ascii="Times New Roman" w:hAnsi="Times New Roman" w:cs="Times New Roman"/>
        </w:rPr>
        <w:t xml:space="preserve">There will be direct job creation through the operation of the scheme: 157 FTE jobs Phase 1 and </w:t>
      </w:r>
      <w:r w:rsidR="000B4ECD">
        <w:rPr>
          <w:rFonts w:ascii="Times New Roman" w:hAnsi="Times New Roman" w:cs="Times New Roman"/>
        </w:rPr>
        <w:t xml:space="preserve">a further </w:t>
      </w:r>
      <w:r w:rsidRPr="00163D0E">
        <w:rPr>
          <w:rFonts w:ascii="Times New Roman" w:hAnsi="Times New Roman" w:cs="Times New Roman"/>
        </w:rPr>
        <w:t>165 – 779 FTE jobs Phase 2. Direct, indirect and induced employment is estimated at 220 FTE jobs for Phase 1, and</w:t>
      </w:r>
      <w:r w:rsidR="000B4ECD">
        <w:rPr>
          <w:rFonts w:ascii="Times New Roman" w:hAnsi="Times New Roman" w:cs="Times New Roman"/>
        </w:rPr>
        <w:t xml:space="preserve"> a </w:t>
      </w:r>
      <w:proofErr w:type="gramStart"/>
      <w:r w:rsidR="000B4ECD">
        <w:rPr>
          <w:rFonts w:ascii="Times New Roman" w:hAnsi="Times New Roman" w:cs="Times New Roman"/>
        </w:rPr>
        <w:t xml:space="preserve">further </w:t>
      </w:r>
      <w:r w:rsidRPr="00163D0E">
        <w:rPr>
          <w:rFonts w:ascii="Times New Roman" w:hAnsi="Times New Roman" w:cs="Times New Roman"/>
        </w:rPr>
        <w:t xml:space="preserve"> 231</w:t>
      </w:r>
      <w:proofErr w:type="gramEnd"/>
      <w:r w:rsidRPr="00163D0E">
        <w:rPr>
          <w:rFonts w:ascii="Times New Roman" w:hAnsi="Times New Roman" w:cs="Times New Roman"/>
        </w:rPr>
        <w:t xml:space="preserve"> – 1091 for Phase 2. Direct, indirect and induced GVA is calculated at some £10.80m for Phase 1, with a further £11.33 - £67.14m for Phase 2</w:t>
      </w:r>
      <w:r w:rsidRPr="00163D0E" w:rsidR="00E93EA2">
        <w:rPr>
          <w:rStyle w:val="FootnoteReference"/>
          <w:rFonts w:ascii="Times New Roman" w:hAnsi="Times New Roman" w:cs="Times New Roman"/>
        </w:rPr>
        <w:footnoteReference w:id="37"/>
      </w:r>
      <w:r w:rsidRPr="00163D0E">
        <w:rPr>
          <w:rFonts w:ascii="Times New Roman" w:hAnsi="Times New Roman" w:cs="Times New Roman"/>
        </w:rPr>
        <w:t>.</w:t>
      </w:r>
    </w:p>
    <w:p w:rsidRPr="00163D0E" w:rsidR="00E9787B" w:rsidP="00036E1F" w:rsidRDefault="00E9787B" w14:paraId="49BB3E5B" w14:textId="77777777">
      <w:pPr>
        <w:pStyle w:val="ListParagraph"/>
        <w:spacing w:line="360" w:lineRule="auto"/>
        <w:rPr>
          <w:rFonts w:ascii="Times New Roman" w:hAnsi="Times New Roman" w:cs="Times New Roman"/>
        </w:rPr>
      </w:pPr>
    </w:p>
    <w:p w:rsidRPr="00163D0E" w:rsidR="007302B4" w:rsidP="00036E1F" w:rsidRDefault="00E9787B" w14:paraId="4E116CAB" w14:textId="7777777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Increasing footfall in the central area will support, complement and integrate with the wider regeneration schemes within the Talbot Gateway</w:t>
      </w:r>
      <w:r w:rsidRPr="00163D0E" w:rsidR="00E93EA2">
        <w:rPr>
          <w:rFonts w:ascii="Times New Roman" w:hAnsi="Times New Roman" w:cs="Times New Roman"/>
        </w:rPr>
        <w:t>, reinforcing its role as the anchor for the north of the town centre, and reducing the impacts of seasonality that have a significant impact on the economy of Blackpool</w:t>
      </w:r>
      <w:r w:rsidRPr="00163D0E">
        <w:rPr>
          <w:rFonts w:ascii="Times New Roman" w:hAnsi="Times New Roman" w:cs="Times New Roman"/>
        </w:rPr>
        <w:t>. In economic terms, the influx of students and staff to the area will boost spending in shops, restaurants and local services, and additional jobs will be created as a result of the additional spend. This activity has the potential to generate £4.73m of local expenditure per annum, with a further £4.98</w:t>
      </w:r>
      <w:r w:rsidRPr="00163D0E" w:rsidR="00371C56">
        <w:rPr>
          <w:rFonts w:ascii="Times New Roman" w:hAnsi="Times New Roman" w:cs="Times New Roman"/>
        </w:rPr>
        <w:t>m</w:t>
      </w:r>
      <w:r w:rsidRPr="00163D0E">
        <w:rPr>
          <w:rFonts w:ascii="Times New Roman" w:hAnsi="Times New Roman" w:cs="Times New Roman"/>
        </w:rPr>
        <w:t xml:space="preserve"> - £0.65m for Phase 2</w:t>
      </w:r>
    </w:p>
    <w:p w:rsidR="000B4ECD" w:rsidP="000B4ECD" w:rsidRDefault="000B4ECD" w14:paraId="1B266F76" w14:textId="77777777">
      <w:pPr>
        <w:pStyle w:val="ListParagraph"/>
        <w:spacing w:line="360" w:lineRule="auto"/>
        <w:rPr>
          <w:rFonts w:ascii="Times New Roman" w:hAnsi="Times New Roman" w:cs="Times New Roman"/>
        </w:rPr>
      </w:pPr>
    </w:p>
    <w:p w:rsidRPr="00163D0E" w:rsidR="00E9787B" w:rsidP="00036E1F" w:rsidRDefault="00E9787B" w14:paraId="61A9CA1A" w14:textId="07485F00">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Local employment will be supported in this way, calculated at 32 jobs for Phase 1, and a further 33 – 4 jobs for Phase 2</w:t>
      </w:r>
      <w:r w:rsidRPr="00163D0E" w:rsidR="00E93EA2">
        <w:rPr>
          <w:rStyle w:val="FootnoteReference"/>
          <w:rFonts w:ascii="Times New Roman" w:hAnsi="Times New Roman" w:cs="Times New Roman"/>
        </w:rPr>
        <w:footnoteReference w:id="38"/>
      </w:r>
      <w:r w:rsidRPr="00163D0E">
        <w:rPr>
          <w:rFonts w:ascii="Times New Roman" w:hAnsi="Times New Roman" w:cs="Times New Roman"/>
        </w:rPr>
        <w:t>.</w:t>
      </w:r>
    </w:p>
    <w:p w:rsidRPr="00163D0E" w:rsidR="00E9787B" w:rsidP="00036E1F" w:rsidRDefault="00E9787B" w14:paraId="4340687E" w14:textId="4CE97C02">
      <w:pPr>
        <w:pStyle w:val="ListParagraph"/>
        <w:spacing w:line="360" w:lineRule="auto"/>
        <w:rPr>
          <w:rFonts w:ascii="Times New Roman" w:hAnsi="Times New Roman" w:cs="Times New Roman"/>
        </w:rPr>
      </w:pPr>
    </w:p>
    <w:p w:rsidRPr="00163D0E" w:rsidR="00E93EA2" w:rsidP="00036E1F" w:rsidRDefault="00E15C40" w14:paraId="2D03B87A" w14:textId="5E6800F8">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As Mr. Harvey (“EH”) noted in evidence</w:t>
      </w:r>
      <w:r w:rsidRPr="00163D0E">
        <w:rPr>
          <w:rStyle w:val="FootnoteReference"/>
          <w:rFonts w:ascii="Times New Roman" w:hAnsi="Times New Roman" w:cs="Times New Roman"/>
        </w:rPr>
        <w:footnoteReference w:id="39"/>
      </w:r>
      <w:r w:rsidRPr="00163D0E">
        <w:rPr>
          <w:rFonts w:ascii="Times New Roman" w:hAnsi="Times New Roman" w:cs="Times New Roman"/>
        </w:rPr>
        <w:t>, the scheme will therefore bring substantial economic benefits at a scale that will promote and improve the economic well – being of the whole town, particularly given the extent of deprivation and the economic challenges in Blackpool.</w:t>
      </w:r>
    </w:p>
    <w:p w:rsidRPr="00163D0E" w:rsidR="00E564B8" w:rsidP="00036E1F" w:rsidRDefault="00E564B8" w14:paraId="47A64D97" w14:textId="77777777">
      <w:pPr>
        <w:pStyle w:val="ListParagraph"/>
        <w:spacing w:line="360" w:lineRule="auto"/>
        <w:rPr>
          <w:rFonts w:ascii="Times New Roman" w:hAnsi="Times New Roman" w:cs="Times New Roman"/>
        </w:rPr>
      </w:pPr>
    </w:p>
    <w:p w:rsidRPr="00163D0E" w:rsidR="00B25E42" w:rsidP="00036E1F" w:rsidRDefault="00E9787B" w14:paraId="63CD1DC5" w14:textId="24B22775">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w:t>
      </w:r>
      <w:r w:rsidRPr="00163D0E" w:rsidR="00B25E42">
        <w:rPr>
          <w:rFonts w:ascii="Times New Roman" w:hAnsi="Times New Roman" w:cs="Times New Roman"/>
        </w:rPr>
        <w:t xml:space="preserve"> clearance of poorer quality housing stock on this central site, which </w:t>
      </w:r>
      <w:proofErr w:type="gramStart"/>
      <w:r w:rsidRPr="00163D0E" w:rsidR="00B25E42">
        <w:rPr>
          <w:rFonts w:ascii="Times New Roman" w:hAnsi="Times New Roman" w:cs="Times New Roman"/>
        </w:rPr>
        <w:t>is in need of</w:t>
      </w:r>
      <w:proofErr w:type="gramEnd"/>
      <w:r w:rsidRPr="00163D0E" w:rsidR="00B25E42">
        <w:rPr>
          <w:rFonts w:ascii="Times New Roman" w:hAnsi="Times New Roman" w:cs="Times New Roman"/>
        </w:rPr>
        <w:t xml:space="preserve"> regeneration, and its replacement with high quality development</w:t>
      </w:r>
      <w:r w:rsidRPr="00163D0E">
        <w:rPr>
          <w:rFonts w:ascii="Times New Roman" w:hAnsi="Times New Roman" w:cs="Times New Roman"/>
        </w:rPr>
        <w:t xml:space="preserve"> and public realm (where there currently is none)</w:t>
      </w:r>
      <w:r w:rsidRPr="00163D0E" w:rsidR="00B25E42">
        <w:rPr>
          <w:rFonts w:ascii="Times New Roman" w:hAnsi="Times New Roman" w:cs="Times New Roman"/>
        </w:rPr>
        <w:t xml:space="preserve">, will also have clear place-making benefits. </w:t>
      </w:r>
    </w:p>
    <w:p w:rsidRPr="00163D0E" w:rsidR="00B25E42" w:rsidP="00036E1F" w:rsidRDefault="00B25E42" w14:paraId="4EFC09AC" w14:textId="77777777">
      <w:pPr>
        <w:pStyle w:val="ListParagraph"/>
        <w:spacing w:line="360" w:lineRule="auto"/>
        <w:rPr>
          <w:rFonts w:ascii="Times New Roman" w:hAnsi="Times New Roman" w:cs="Times New Roman"/>
        </w:rPr>
      </w:pPr>
    </w:p>
    <w:p w:rsidRPr="00163D0E" w:rsidR="00B25E42" w:rsidP="00036E1F" w:rsidRDefault="00B25E42" w14:paraId="24015644" w14:textId="6AD574B5">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As set out in the architectural evidence of Ms. Tonkinson, and as clearly demonstrated in the CGIs before the inquiry, the scheme will deliver an iconic</w:t>
      </w:r>
      <w:r w:rsidRPr="00163D0E" w:rsidR="00E9787B">
        <w:rPr>
          <w:rFonts w:ascii="Times New Roman" w:hAnsi="Times New Roman" w:cs="Times New Roman"/>
        </w:rPr>
        <w:t xml:space="preserve">, </w:t>
      </w:r>
      <w:r w:rsidRPr="00163D0E">
        <w:rPr>
          <w:rFonts w:ascii="Times New Roman" w:hAnsi="Times New Roman" w:cs="Times New Roman"/>
        </w:rPr>
        <w:t xml:space="preserve">landmark building for Blackpool. Rising to 5 storeys at its highest point, its dynamic form and use of </w:t>
      </w:r>
      <w:r w:rsidRPr="00163D0E" w:rsidR="00E9787B">
        <w:rPr>
          <w:rFonts w:ascii="Times New Roman" w:hAnsi="Times New Roman" w:cs="Times New Roman"/>
        </w:rPr>
        <w:t>high-quality</w:t>
      </w:r>
      <w:r w:rsidRPr="00163D0E">
        <w:rPr>
          <w:rFonts w:ascii="Times New Roman" w:hAnsi="Times New Roman" w:cs="Times New Roman"/>
        </w:rPr>
        <w:t xml:space="preserve"> materials (including </w:t>
      </w:r>
      <w:r w:rsidRPr="00163D0E" w:rsidR="00B44505">
        <w:rPr>
          <w:rFonts w:ascii="Times New Roman" w:hAnsi="Times New Roman" w:cs="Times New Roman"/>
        </w:rPr>
        <w:t xml:space="preserve">high-gloss </w:t>
      </w:r>
      <w:r w:rsidRPr="00163D0E">
        <w:rPr>
          <w:rFonts w:ascii="Times New Roman" w:hAnsi="Times New Roman" w:cs="Times New Roman"/>
        </w:rPr>
        <w:t xml:space="preserve">terracotta </w:t>
      </w:r>
      <w:r w:rsidRPr="00163D0E" w:rsidR="00B44505">
        <w:rPr>
          <w:rFonts w:ascii="Times New Roman" w:hAnsi="Times New Roman" w:cs="Times New Roman"/>
        </w:rPr>
        <w:t>cladding</w:t>
      </w:r>
      <w:r w:rsidRPr="00163D0E">
        <w:rPr>
          <w:rFonts w:ascii="Times New Roman" w:hAnsi="Times New Roman" w:cs="Times New Roman"/>
        </w:rPr>
        <w:t xml:space="preserve"> </w:t>
      </w:r>
      <w:r w:rsidRPr="00163D0E" w:rsidR="00B44505">
        <w:rPr>
          <w:rFonts w:ascii="Times New Roman" w:hAnsi="Times New Roman" w:cs="Times New Roman"/>
        </w:rPr>
        <w:t xml:space="preserve">with </w:t>
      </w:r>
      <w:proofErr w:type="gramStart"/>
      <w:r w:rsidRPr="00163D0E" w:rsidR="00B44505">
        <w:rPr>
          <w:rFonts w:ascii="Times New Roman" w:hAnsi="Times New Roman" w:cs="Times New Roman"/>
        </w:rPr>
        <w:t>curtain-wall</w:t>
      </w:r>
      <w:proofErr w:type="gramEnd"/>
      <w:r w:rsidRPr="00163D0E" w:rsidR="00B44505">
        <w:rPr>
          <w:rFonts w:ascii="Times New Roman" w:hAnsi="Times New Roman" w:cs="Times New Roman"/>
        </w:rPr>
        <w:t xml:space="preserve"> </w:t>
      </w:r>
      <w:r w:rsidRPr="00163D0E">
        <w:rPr>
          <w:rFonts w:ascii="Times New Roman" w:hAnsi="Times New Roman" w:cs="Times New Roman"/>
        </w:rPr>
        <w:t xml:space="preserve">glazing) combine to ensure that this will function as a gateway building to the Talbot Gateway, supporting and </w:t>
      </w:r>
      <w:r w:rsidRPr="00163D0E" w:rsidR="00DF087A">
        <w:rPr>
          <w:rFonts w:ascii="Times New Roman" w:hAnsi="Times New Roman" w:cs="Times New Roman"/>
        </w:rPr>
        <w:t xml:space="preserve">complementing </w:t>
      </w:r>
      <w:r w:rsidRPr="00163D0E">
        <w:rPr>
          <w:rFonts w:ascii="Times New Roman" w:hAnsi="Times New Roman" w:cs="Times New Roman"/>
        </w:rPr>
        <w:t>the wider regeneration initiatives within the area. Active frontages to the ground floors of the building will provide views into the vibrant and aspirational learning environment.</w:t>
      </w:r>
      <w:r w:rsidRPr="00163D0E" w:rsidR="00E9787B">
        <w:rPr>
          <w:rFonts w:ascii="Times New Roman" w:hAnsi="Times New Roman" w:cs="Times New Roman"/>
        </w:rPr>
        <w:t xml:space="preserve"> The building will be sustainable (designed to a minimum BREEAM “very good” standard, with an aspiration to </w:t>
      </w:r>
      <w:r w:rsidRPr="00163D0E" w:rsidR="00E9787B">
        <w:rPr>
          <w:rFonts w:ascii="Times New Roman" w:hAnsi="Times New Roman" w:cs="Times New Roman"/>
        </w:rPr>
        <w:lastRenderedPageBreak/>
        <w:t>achieve a higher level of certification</w:t>
      </w:r>
      <w:r w:rsidRPr="00163D0E" w:rsidR="00E9787B">
        <w:rPr>
          <w:rStyle w:val="FootnoteReference"/>
          <w:rFonts w:ascii="Times New Roman" w:hAnsi="Times New Roman" w:cs="Times New Roman"/>
        </w:rPr>
        <w:footnoteReference w:id="40"/>
      </w:r>
      <w:r w:rsidRPr="00163D0E" w:rsidR="00E9787B">
        <w:rPr>
          <w:rFonts w:ascii="Times New Roman" w:hAnsi="Times New Roman" w:cs="Times New Roman"/>
        </w:rPr>
        <w:t xml:space="preserve">). </w:t>
      </w:r>
      <w:r w:rsidRPr="00163D0E">
        <w:rPr>
          <w:rFonts w:ascii="Times New Roman" w:hAnsi="Times New Roman" w:cs="Times New Roman"/>
        </w:rPr>
        <w:t xml:space="preserve"> Whilst the detailed design for </w:t>
      </w:r>
      <w:r w:rsidRPr="00163D0E" w:rsidR="009034E3">
        <w:rPr>
          <w:rFonts w:ascii="Times New Roman" w:hAnsi="Times New Roman" w:cs="Times New Roman"/>
        </w:rPr>
        <w:t>P</w:t>
      </w:r>
      <w:r w:rsidRPr="00163D0E">
        <w:rPr>
          <w:rFonts w:ascii="Times New Roman" w:hAnsi="Times New Roman" w:cs="Times New Roman"/>
        </w:rPr>
        <w:t xml:space="preserve">hase 2 has not yet come forward, there is a commitment to match the urban design quality for </w:t>
      </w:r>
      <w:r w:rsidRPr="00163D0E" w:rsidR="009034E3">
        <w:rPr>
          <w:rFonts w:ascii="Times New Roman" w:hAnsi="Times New Roman" w:cs="Times New Roman"/>
        </w:rPr>
        <w:t>P</w:t>
      </w:r>
      <w:r w:rsidRPr="00163D0E">
        <w:rPr>
          <w:rFonts w:ascii="Times New Roman" w:hAnsi="Times New Roman" w:cs="Times New Roman"/>
        </w:rPr>
        <w:t>hase 1. Indeed, and as set out above, the site has been master</w:t>
      </w:r>
      <w:r w:rsidRPr="00163D0E">
        <w:rPr>
          <w:rFonts w:ascii="Times New Roman" w:hAnsi="Times New Roman" w:cs="Times New Roman"/>
          <w:strike/>
        </w:rPr>
        <w:t xml:space="preserve"> - </w:t>
      </w:r>
      <w:r w:rsidRPr="00163D0E">
        <w:rPr>
          <w:rFonts w:ascii="Times New Roman" w:hAnsi="Times New Roman" w:cs="Times New Roman"/>
        </w:rPr>
        <w:t xml:space="preserve">planned as a whole, with the shared access road providing a break in the urban fabric that allows views of the iconic Blackpool Tower to be preserved. </w:t>
      </w:r>
    </w:p>
    <w:p w:rsidRPr="00163D0E" w:rsidR="00B25E42" w:rsidP="00036E1F" w:rsidRDefault="00B25E42" w14:paraId="62572ACB" w14:textId="77777777">
      <w:pPr>
        <w:pStyle w:val="ListParagraph"/>
        <w:spacing w:line="360" w:lineRule="auto"/>
        <w:rPr>
          <w:rFonts w:ascii="Times New Roman" w:hAnsi="Times New Roman" w:cs="Times New Roman"/>
        </w:rPr>
      </w:pPr>
    </w:p>
    <w:p w:rsidRPr="00163D0E" w:rsidR="00F0148C" w:rsidP="009034E3" w:rsidRDefault="00B25E42" w14:paraId="094495F2" w14:textId="19EB36C6">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whole scheme will be set within a new area of transformational public realm</w:t>
      </w:r>
      <w:r w:rsidRPr="00163D0E" w:rsidR="00E9787B">
        <w:rPr>
          <w:rFonts w:ascii="Times New Roman" w:hAnsi="Times New Roman" w:cs="Times New Roman"/>
        </w:rPr>
        <w:t xml:space="preserve"> (0.4 ha Phase 1, 0.7 ha anticipated for Phase 2</w:t>
      </w:r>
      <w:r w:rsidRPr="00163D0E" w:rsidR="00E9787B">
        <w:rPr>
          <w:rStyle w:val="FootnoteReference"/>
          <w:rFonts w:ascii="Times New Roman" w:hAnsi="Times New Roman" w:cs="Times New Roman"/>
        </w:rPr>
        <w:footnoteReference w:id="41"/>
      </w:r>
      <w:r w:rsidRPr="00163D0E" w:rsidR="009034E3">
        <w:rPr>
          <w:rFonts w:ascii="Times New Roman" w:hAnsi="Times New Roman" w:cs="Times New Roman"/>
        </w:rPr>
        <w:t>)</w:t>
      </w:r>
      <w:r w:rsidRPr="00163D0E" w:rsidR="00E9787B">
        <w:rPr>
          <w:rFonts w:ascii="Times New Roman" w:hAnsi="Times New Roman" w:cs="Times New Roman"/>
        </w:rPr>
        <w:t xml:space="preserve"> </w:t>
      </w:r>
      <w:r w:rsidRPr="00163D0E">
        <w:rPr>
          <w:rFonts w:ascii="Times New Roman" w:hAnsi="Times New Roman" w:cs="Times New Roman"/>
        </w:rPr>
        <w:t>with a combination of soft planting, trees, dwell – spaces, and public art combining to enhance public</w:t>
      </w:r>
      <w:r w:rsidRPr="00163D0E" w:rsidR="00E9787B">
        <w:rPr>
          <w:rFonts w:ascii="Times New Roman" w:hAnsi="Times New Roman" w:cs="Times New Roman"/>
        </w:rPr>
        <w:t xml:space="preserve">, social </w:t>
      </w:r>
      <w:r w:rsidRPr="00163D0E">
        <w:rPr>
          <w:rFonts w:ascii="Times New Roman" w:hAnsi="Times New Roman" w:cs="Times New Roman"/>
        </w:rPr>
        <w:t>benefit</w:t>
      </w:r>
      <w:r w:rsidRPr="00163D0E" w:rsidR="00E9787B">
        <w:rPr>
          <w:rFonts w:ascii="Times New Roman" w:hAnsi="Times New Roman" w:cs="Times New Roman"/>
        </w:rPr>
        <w:t xml:space="preserve"> and environmental</w:t>
      </w:r>
      <w:r w:rsidRPr="00163D0E">
        <w:rPr>
          <w:rFonts w:ascii="Times New Roman" w:hAnsi="Times New Roman" w:cs="Times New Roman"/>
        </w:rPr>
        <w:t xml:space="preserve"> well - being. </w:t>
      </w:r>
      <w:r w:rsidRPr="00163D0E" w:rsidR="00E9787B">
        <w:rPr>
          <w:rFonts w:ascii="Times New Roman" w:hAnsi="Times New Roman" w:cs="Times New Roman"/>
        </w:rPr>
        <w:t xml:space="preserve">The Order lands are currently given over entirely to hardstanding, and there is no biodiversity value to them. The scheme will deliver a significant uplift in biodiversity, with wildflower planting, green roofs, and 35 trees in Phase 1 alone (69 anticipated </w:t>
      </w:r>
      <w:r w:rsidRPr="00163D0E" w:rsidR="00C65FB8">
        <w:rPr>
          <w:rFonts w:ascii="Times New Roman" w:hAnsi="Times New Roman" w:cs="Times New Roman"/>
        </w:rPr>
        <w:t xml:space="preserve">in total including </w:t>
      </w:r>
      <w:r w:rsidRPr="00163D0E" w:rsidR="00E9787B">
        <w:rPr>
          <w:rFonts w:ascii="Times New Roman" w:hAnsi="Times New Roman" w:cs="Times New Roman"/>
        </w:rPr>
        <w:t>Phase 2) which is a clear environmental benefit of the scheme</w:t>
      </w:r>
      <w:r w:rsidRPr="00163D0E" w:rsidR="00E9787B">
        <w:rPr>
          <w:rStyle w:val="FootnoteReference"/>
          <w:rFonts w:ascii="Times New Roman" w:hAnsi="Times New Roman" w:cs="Times New Roman"/>
        </w:rPr>
        <w:footnoteReference w:id="42"/>
      </w:r>
      <w:r w:rsidRPr="00163D0E" w:rsidR="00E9787B">
        <w:rPr>
          <w:rFonts w:ascii="Times New Roman" w:hAnsi="Times New Roman" w:cs="Times New Roman"/>
        </w:rPr>
        <w:t xml:space="preserve">. </w:t>
      </w:r>
    </w:p>
    <w:p w:rsidRPr="00163D0E" w:rsidR="009034E3" w:rsidP="009034E3" w:rsidRDefault="009034E3" w14:paraId="340A58E9" w14:textId="77777777">
      <w:pPr>
        <w:pStyle w:val="ListParagraph"/>
        <w:rPr>
          <w:rFonts w:ascii="Times New Roman" w:hAnsi="Times New Roman" w:cs="Times New Roman"/>
        </w:rPr>
      </w:pPr>
    </w:p>
    <w:p w:rsidRPr="00163D0E" w:rsidR="00F0148C" w:rsidP="009034E3" w:rsidRDefault="00F0148C" w14:paraId="0321CA96" w14:textId="1C42D7BB">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Safe, accessible, and appealing routes will be created into the town centre and linkages to key public transport hubs (train station, tram, bus), including through a newly – pedestrianised George Street. The scheme will make best use of previously developed land at an appropriate density in a highly sustainable location</w:t>
      </w:r>
      <w:r w:rsidRPr="00163D0E">
        <w:rPr>
          <w:rStyle w:val="FootnoteReference"/>
          <w:rFonts w:ascii="Times New Roman" w:hAnsi="Times New Roman" w:cs="Times New Roman"/>
        </w:rPr>
        <w:footnoteReference w:id="43"/>
      </w:r>
      <w:r w:rsidRPr="00163D0E">
        <w:rPr>
          <w:rFonts w:ascii="Times New Roman" w:hAnsi="Times New Roman" w:cs="Times New Roman"/>
        </w:rPr>
        <w:t>.</w:t>
      </w:r>
    </w:p>
    <w:p w:rsidRPr="00163D0E" w:rsidR="00E9787B" w:rsidP="00036E1F" w:rsidRDefault="00E9787B" w14:paraId="6EF39EB5" w14:textId="77777777">
      <w:pPr>
        <w:pStyle w:val="ListParagraph"/>
        <w:spacing w:line="360" w:lineRule="auto"/>
        <w:rPr>
          <w:rFonts w:ascii="Times New Roman" w:hAnsi="Times New Roman" w:cs="Times New Roman"/>
        </w:rPr>
      </w:pPr>
    </w:p>
    <w:p w:rsidR="00E9787B" w:rsidP="00036E1F" w:rsidRDefault="00E9787B" w14:paraId="089FA117" w14:textId="710E8B7E">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In short, the high-quality place making, the delivery of an iconic, sustainable building on </w:t>
      </w:r>
      <w:r w:rsidRPr="00163D0E" w:rsidR="009034E3">
        <w:rPr>
          <w:rFonts w:ascii="Times New Roman" w:hAnsi="Times New Roman" w:cs="Times New Roman"/>
        </w:rPr>
        <w:t>this</w:t>
      </w:r>
      <w:r w:rsidRPr="00163D0E">
        <w:rPr>
          <w:rFonts w:ascii="Times New Roman" w:hAnsi="Times New Roman" w:cs="Times New Roman"/>
        </w:rPr>
        <w:t xml:space="preserve"> highly sustainable site, the delivery of significant public realm and planting</w:t>
      </w:r>
      <w:r w:rsidRPr="00163D0E" w:rsidR="009034E3">
        <w:rPr>
          <w:rFonts w:ascii="Times New Roman" w:hAnsi="Times New Roman" w:cs="Times New Roman"/>
        </w:rPr>
        <w:t>, and the</w:t>
      </w:r>
      <w:r w:rsidRPr="00163D0E">
        <w:rPr>
          <w:rFonts w:ascii="Times New Roman" w:hAnsi="Times New Roman" w:cs="Times New Roman"/>
        </w:rPr>
        <w:t xml:space="preserve"> linking</w:t>
      </w:r>
      <w:r w:rsidRPr="00163D0E" w:rsidR="009034E3">
        <w:rPr>
          <w:rFonts w:ascii="Times New Roman" w:hAnsi="Times New Roman" w:cs="Times New Roman"/>
        </w:rPr>
        <w:t xml:space="preserve"> of</w:t>
      </w:r>
      <w:r w:rsidRPr="00163D0E">
        <w:rPr>
          <w:rFonts w:ascii="Times New Roman" w:hAnsi="Times New Roman" w:cs="Times New Roman"/>
        </w:rPr>
        <w:t xml:space="preserve"> the Multiversity site to previous phases of the wider Talbot Gateway regeneration scheme, will deliver transformational change</w:t>
      </w:r>
      <w:r w:rsidRPr="00163D0E" w:rsidR="009034E3">
        <w:rPr>
          <w:rFonts w:ascii="Times New Roman" w:hAnsi="Times New Roman" w:cs="Times New Roman"/>
        </w:rPr>
        <w:t xml:space="preserve"> to the benefit of the town in this </w:t>
      </w:r>
      <w:r w:rsidRPr="00163D0E">
        <w:rPr>
          <w:rFonts w:ascii="Times New Roman" w:hAnsi="Times New Roman" w:cs="Times New Roman"/>
        </w:rPr>
        <w:t>important gateway location</w:t>
      </w:r>
      <w:r w:rsidRPr="00163D0E" w:rsidR="009034E3">
        <w:rPr>
          <w:rFonts w:ascii="Times New Roman" w:hAnsi="Times New Roman" w:cs="Times New Roman"/>
        </w:rPr>
        <w:t>, and</w:t>
      </w:r>
      <w:r w:rsidRPr="00163D0E" w:rsidR="00237245">
        <w:rPr>
          <w:rFonts w:ascii="Times New Roman" w:hAnsi="Times New Roman" w:cs="Times New Roman"/>
        </w:rPr>
        <w:t xml:space="preserve"> </w:t>
      </w:r>
      <w:r w:rsidRPr="00163D0E" w:rsidR="00FB2DB1">
        <w:rPr>
          <w:rFonts w:ascii="Times New Roman" w:hAnsi="Times New Roman" w:cs="Times New Roman"/>
        </w:rPr>
        <w:t xml:space="preserve">of </w:t>
      </w:r>
      <w:r w:rsidRPr="00163D0E">
        <w:rPr>
          <w:rFonts w:ascii="Times New Roman" w:hAnsi="Times New Roman" w:cs="Times New Roman"/>
        </w:rPr>
        <w:t xml:space="preserve">which Blackpool can be </w:t>
      </w:r>
      <w:r w:rsidRPr="00163D0E" w:rsidR="0007427B">
        <w:rPr>
          <w:rFonts w:ascii="Times New Roman" w:hAnsi="Times New Roman" w:cs="Times New Roman"/>
        </w:rPr>
        <w:t>proud.</w:t>
      </w:r>
      <w:r w:rsidRPr="00163D0E">
        <w:rPr>
          <w:rFonts w:ascii="Times New Roman" w:hAnsi="Times New Roman" w:cs="Times New Roman"/>
        </w:rPr>
        <w:t xml:space="preserve"> The scheme will clearly</w:t>
      </w:r>
      <w:r w:rsidRPr="00163D0E" w:rsidR="00F0148C">
        <w:rPr>
          <w:rFonts w:ascii="Times New Roman" w:hAnsi="Times New Roman" w:cs="Times New Roman"/>
        </w:rPr>
        <w:t xml:space="preserve"> </w:t>
      </w:r>
      <w:r w:rsidRPr="00163D0E">
        <w:rPr>
          <w:rFonts w:ascii="Times New Roman" w:hAnsi="Times New Roman" w:cs="Times New Roman"/>
        </w:rPr>
        <w:t>make a</w:t>
      </w:r>
      <w:r w:rsidRPr="00163D0E" w:rsidR="009034E3">
        <w:rPr>
          <w:rFonts w:ascii="Times New Roman" w:hAnsi="Times New Roman" w:cs="Times New Roman"/>
        </w:rPr>
        <w:t>n</w:t>
      </w:r>
      <w:r w:rsidRPr="00163D0E">
        <w:rPr>
          <w:rFonts w:ascii="Times New Roman" w:hAnsi="Times New Roman" w:cs="Times New Roman"/>
        </w:rPr>
        <w:t xml:space="preserve"> important</w:t>
      </w:r>
      <w:r w:rsidRPr="00163D0E" w:rsidR="009034E3">
        <w:rPr>
          <w:rFonts w:ascii="Times New Roman" w:hAnsi="Times New Roman" w:cs="Times New Roman"/>
        </w:rPr>
        <w:t xml:space="preserve"> and substantial</w:t>
      </w:r>
      <w:r w:rsidRPr="00163D0E">
        <w:rPr>
          <w:rFonts w:ascii="Times New Roman" w:hAnsi="Times New Roman" w:cs="Times New Roman"/>
        </w:rPr>
        <w:t xml:space="preserve"> contribution to promoting and improving the social and environmental well-being of Blackpool</w:t>
      </w:r>
      <w:r w:rsidRPr="00163D0E" w:rsidR="00F0148C">
        <w:rPr>
          <w:rFonts w:ascii="Times New Roman" w:hAnsi="Times New Roman" w:cs="Times New Roman"/>
        </w:rPr>
        <w:t>.</w:t>
      </w:r>
    </w:p>
    <w:p w:rsidRPr="00080545" w:rsidR="00080545" w:rsidP="00080545" w:rsidRDefault="00080545" w14:paraId="2DAF2768" w14:textId="77777777">
      <w:pPr>
        <w:pStyle w:val="ListParagraph"/>
        <w:rPr>
          <w:rFonts w:ascii="Times New Roman" w:hAnsi="Times New Roman" w:cs="Times New Roman"/>
        </w:rPr>
      </w:pPr>
    </w:p>
    <w:p w:rsidRPr="00163D0E" w:rsidR="00080545" w:rsidP="00036E1F" w:rsidRDefault="00080545" w14:paraId="78DF683F" w14:textId="44E4D182">
      <w:pPr>
        <w:pStyle w:val="ListParagraph"/>
        <w:numPr>
          <w:ilvl w:val="0"/>
          <w:numId w:val="1"/>
        </w:numPr>
        <w:spacing w:line="360" w:lineRule="auto"/>
        <w:rPr>
          <w:rFonts w:ascii="Times New Roman" w:hAnsi="Times New Roman" w:cs="Times New Roman"/>
        </w:rPr>
      </w:pPr>
      <w:r>
        <w:rPr>
          <w:rFonts w:ascii="Times New Roman" w:hAnsi="Times New Roman" w:cs="Times New Roman"/>
        </w:rPr>
        <w:lastRenderedPageBreak/>
        <w:t>Finally, as set out in the evidence of Mr. Gerrard, the Multiversity scheme also complements the wider Inner Area housing regeneration scheme, which reflects the urgent and pressing need in Blackpool to address the systemic failures of the dysfunctional housing market in inner Blackpool through, amongst other interventions, the clearance of poor quality housing stock, which contributes to high levels of deprivation, vulnerability, transience, crime, anti-social behaviour, and the poor environment within the inner area.</w:t>
      </w:r>
    </w:p>
    <w:p w:rsidRPr="00163D0E" w:rsidR="00F0148C" w:rsidP="00036E1F" w:rsidRDefault="00F0148C" w14:paraId="27732B72" w14:textId="77777777">
      <w:pPr>
        <w:pStyle w:val="ListParagraph"/>
        <w:spacing w:line="360" w:lineRule="auto"/>
        <w:rPr>
          <w:rFonts w:ascii="Times New Roman" w:hAnsi="Times New Roman" w:cs="Times New Roman"/>
        </w:rPr>
      </w:pPr>
    </w:p>
    <w:p w:rsidRPr="00163D0E" w:rsidR="00F0148C" w:rsidP="00036E1F" w:rsidRDefault="00F0148C" w14:paraId="3D6A05F4" w14:textId="5F7B9A03">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Drawing all this together, there is an exceptionally strong public interest imperative for this scheme to come forward, and for the Compulsory Purchase Order to be confirmed. The scheme will deliver clear benefits to the town,</w:t>
      </w:r>
      <w:r w:rsidRPr="00163D0E" w:rsidR="009034E3">
        <w:rPr>
          <w:rFonts w:ascii="Times New Roman" w:hAnsi="Times New Roman" w:cs="Times New Roman"/>
        </w:rPr>
        <w:t xml:space="preserve"> and</w:t>
      </w:r>
      <w:r w:rsidRPr="00163D0E">
        <w:rPr>
          <w:rFonts w:ascii="Times New Roman" w:hAnsi="Times New Roman" w:cs="Times New Roman"/>
        </w:rPr>
        <w:t xml:space="preserve"> will assist in meeting the acute multi-faceted challenges that it faces. It will, very clearly, make a substantial contribution to the achievement of the promotion and improvement of the economic, social and environmental well – being of Blackpool</w:t>
      </w:r>
      <w:r w:rsidRPr="00163D0E" w:rsidR="00624E98">
        <w:rPr>
          <w:rStyle w:val="FootnoteReference"/>
          <w:rFonts w:ascii="Times New Roman" w:hAnsi="Times New Roman" w:cs="Times New Roman"/>
        </w:rPr>
        <w:footnoteReference w:id="44"/>
      </w:r>
      <w:r w:rsidRPr="00163D0E">
        <w:rPr>
          <w:rFonts w:ascii="Times New Roman" w:hAnsi="Times New Roman" w:cs="Times New Roman"/>
        </w:rPr>
        <w:t xml:space="preserve">. </w:t>
      </w:r>
    </w:p>
    <w:p w:rsidRPr="00163D0E" w:rsidR="006B73F5" w:rsidP="00036E1F" w:rsidRDefault="006B73F5" w14:paraId="365EE607" w14:textId="77777777">
      <w:pPr>
        <w:pStyle w:val="ListParagraph"/>
        <w:spacing w:line="360" w:lineRule="auto"/>
        <w:rPr>
          <w:rFonts w:ascii="Times New Roman" w:hAnsi="Times New Roman" w:cs="Times New Roman"/>
        </w:rPr>
      </w:pPr>
    </w:p>
    <w:p w:rsidRPr="00163D0E" w:rsidR="006B73F5" w:rsidP="00036E1F" w:rsidRDefault="006B73F5" w14:paraId="551C3660" w14:textId="7B0F4AFE">
      <w:pPr>
        <w:pStyle w:val="ListParagraph"/>
        <w:numPr>
          <w:ilvl w:val="0"/>
          <w:numId w:val="9"/>
        </w:numPr>
        <w:spacing w:line="360" w:lineRule="auto"/>
        <w:rPr>
          <w:rFonts w:ascii="Times New Roman" w:hAnsi="Times New Roman" w:cs="Times New Roman"/>
          <w:i/>
          <w:iCs/>
          <w:u w:val="single"/>
        </w:rPr>
      </w:pPr>
      <w:r w:rsidRPr="00163D0E">
        <w:rPr>
          <w:rFonts w:ascii="Times New Roman" w:hAnsi="Times New Roman" w:cs="Times New Roman"/>
          <w:i/>
          <w:iCs/>
          <w:u w:val="single"/>
        </w:rPr>
        <w:t>Whether the purpose for which the land is being acquired fits in with the development plan for the area and the NPPF</w:t>
      </w:r>
      <w:r w:rsidRPr="00163D0E">
        <w:rPr>
          <w:rStyle w:val="FootnoteReference"/>
          <w:rFonts w:ascii="Times New Roman" w:hAnsi="Times New Roman" w:cs="Times New Roman"/>
          <w:i/>
          <w:iCs/>
          <w:u w:val="single"/>
        </w:rPr>
        <w:footnoteReference w:id="45"/>
      </w:r>
      <w:r w:rsidRPr="00163D0E">
        <w:rPr>
          <w:rFonts w:ascii="Times New Roman" w:hAnsi="Times New Roman" w:cs="Times New Roman"/>
          <w:i/>
          <w:iCs/>
          <w:u w:val="single"/>
        </w:rPr>
        <w:t>.</w:t>
      </w:r>
    </w:p>
    <w:p w:rsidRPr="00163D0E" w:rsidR="00B25E42" w:rsidP="00036E1F" w:rsidRDefault="00B25E42" w14:paraId="68262BA8" w14:textId="77777777">
      <w:pPr>
        <w:pStyle w:val="ListParagraph"/>
        <w:spacing w:line="360" w:lineRule="auto"/>
        <w:rPr>
          <w:rFonts w:ascii="Times New Roman" w:hAnsi="Times New Roman" w:cs="Times New Roman"/>
        </w:rPr>
      </w:pPr>
    </w:p>
    <w:p w:rsidRPr="00163D0E" w:rsidR="00DD7946" w:rsidP="00036E1F" w:rsidRDefault="00624E98" w14:paraId="3DE12D7D" w14:textId="2BB0E051">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programme of land assembly is set within the clear strategic framework contained in the Local Plan. The Local Plan is, self-evidently, founded upon an appropriate evidence base and was subject to public consultation through the Plan making process</w:t>
      </w:r>
      <w:r w:rsidRPr="00163D0E">
        <w:rPr>
          <w:rStyle w:val="FootnoteReference"/>
          <w:rFonts w:ascii="Times New Roman" w:hAnsi="Times New Roman" w:cs="Times New Roman"/>
        </w:rPr>
        <w:footnoteReference w:id="46"/>
      </w:r>
      <w:r w:rsidRPr="00163D0E">
        <w:rPr>
          <w:rFonts w:ascii="Times New Roman" w:hAnsi="Times New Roman" w:cs="Times New Roman"/>
        </w:rPr>
        <w:t xml:space="preserve">. The purpose for which the land is being acquired </w:t>
      </w:r>
      <w:r w:rsidRPr="00163D0E">
        <w:rPr>
          <w:rFonts w:ascii="Times New Roman" w:hAnsi="Times New Roman" w:cs="Times New Roman"/>
          <w:i/>
          <w:iCs/>
        </w:rPr>
        <w:t>“fits in”</w:t>
      </w:r>
      <w:r w:rsidRPr="00163D0E">
        <w:rPr>
          <w:rFonts w:ascii="Times New Roman" w:hAnsi="Times New Roman" w:cs="Times New Roman"/>
        </w:rPr>
        <w:t xml:space="preserve"> with the development plan for the area and the NPPF</w:t>
      </w:r>
      <w:r w:rsidRPr="00163D0E">
        <w:rPr>
          <w:rStyle w:val="FootnoteReference"/>
          <w:rFonts w:ascii="Times New Roman" w:hAnsi="Times New Roman" w:cs="Times New Roman"/>
        </w:rPr>
        <w:footnoteReference w:id="47"/>
      </w:r>
      <w:r w:rsidRPr="00163D0E">
        <w:rPr>
          <w:rFonts w:ascii="Times New Roman" w:hAnsi="Times New Roman" w:cs="Times New Roman"/>
        </w:rPr>
        <w:t>.</w:t>
      </w:r>
    </w:p>
    <w:p w:rsidRPr="00163D0E" w:rsidR="00624E98" w:rsidP="00036E1F" w:rsidRDefault="00624E98" w14:paraId="5D2FADC7" w14:textId="77777777">
      <w:pPr>
        <w:pStyle w:val="ListParagraph"/>
        <w:spacing w:line="360" w:lineRule="auto"/>
        <w:rPr>
          <w:rFonts w:ascii="Times New Roman" w:hAnsi="Times New Roman" w:cs="Times New Roman"/>
        </w:rPr>
      </w:pPr>
    </w:p>
    <w:p w:rsidRPr="00163D0E" w:rsidR="00624E98" w:rsidP="00036E1F" w:rsidRDefault="00624E98" w14:paraId="7C07988A" w14:textId="135B7C3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Mr. Harvey (“EH”) explains the position in full in his evidence. The following key points are of </w:t>
      </w:r>
      <w:proofErr w:type="gramStart"/>
      <w:r w:rsidRPr="00163D0E">
        <w:rPr>
          <w:rFonts w:ascii="Times New Roman" w:hAnsi="Times New Roman" w:cs="Times New Roman"/>
        </w:rPr>
        <w:t>particular note</w:t>
      </w:r>
      <w:proofErr w:type="gramEnd"/>
      <w:r w:rsidRPr="00163D0E">
        <w:rPr>
          <w:rFonts w:ascii="Times New Roman" w:hAnsi="Times New Roman" w:cs="Times New Roman"/>
        </w:rPr>
        <w:t>.</w:t>
      </w:r>
    </w:p>
    <w:p w:rsidRPr="00163D0E" w:rsidR="00624E98" w:rsidP="00036E1F" w:rsidRDefault="00624E98" w14:paraId="6A56150C" w14:textId="77777777">
      <w:pPr>
        <w:pStyle w:val="ListParagraph"/>
        <w:spacing w:line="360" w:lineRule="auto"/>
        <w:rPr>
          <w:rFonts w:ascii="Times New Roman" w:hAnsi="Times New Roman" w:cs="Times New Roman"/>
        </w:rPr>
      </w:pPr>
    </w:p>
    <w:p w:rsidRPr="00163D0E" w:rsidR="002664BE" w:rsidP="00036E1F" w:rsidRDefault="00624E98" w14:paraId="1E091752" w14:textId="50DBDB2F">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Policy CS1 of the Local Plan</w:t>
      </w:r>
      <w:r w:rsidRPr="00163D0E">
        <w:rPr>
          <w:rStyle w:val="FootnoteReference"/>
          <w:rFonts w:ascii="Times New Roman" w:hAnsi="Times New Roman" w:cs="Times New Roman"/>
        </w:rPr>
        <w:footnoteReference w:id="48"/>
      </w:r>
      <w:r w:rsidRPr="00163D0E">
        <w:rPr>
          <w:rFonts w:ascii="Times New Roman" w:hAnsi="Times New Roman" w:cs="Times New Roman"/>
        </w:rPr>
        <w:t xml:space="preserve"> is clear: To deliver the Core Strategy vision the overarching spatial focus for Blackpool is </w:t>
      </w:r>
      <w:r w:rsidRPr="00163D0E" w:rsidR="009034E3">
        <w:rPr>
          <w:rFonts w:ascii="Times New Roman" w:hAnsi="Times New Roman" w:cs="Times New Roman"/>
        </w:rPr>
        <w:t xml:space="preserve">its </w:t>
      </w:r>
      <w:r w:rsidRPr="00163D0E">
        <w:rPr>
          <w:rFonts w:ascii="Times New Roman" w:hAnsi="Times New Roman" w:cs="Times New Roman"/>
        </w:rPr>
        <w:t xml:space="preserve">regeneration and growth. Further, Blackpool’s future growth, development and investment will be focussed on inner </w:t>
      </w:r>
      <w:r w:rsidRPr="00163D0E">
        <w:rPr>
          <w:rFonts w:ascii="Times New Roman" w:hAnsi="Times New Roman" w:cs="Times New Roman"/>
        </w:rPr>
        <w:lastRenderedPageBreak/>
        <w:t>area regeneration, including the town centre and neighbourhoods within the inner areas. The Key Diagram identifies that the Order Land is located within the defined inner area, and directly adjacent to the town centre boundary</w:t>
      </w:r>
      <w:r w:rsidRPr="00163D0E">
        <w:rPr>
          <w:rStyle w:val="FootnoteReference"/>
          <w:rFonts w:ascii="Times New Roman" w:hAnsi="Times New Roman" w:cs="Times New Roman"/>
        </w:rPr>
        <w:footnoteReference w:id="49"/>
      </w:r>
      <w:r w:rsidRPr="00163D0E">
        <w:rPr>
          <w:rFonts w:ascii="Times New Roman" w:hAnsi="Times New Roman" w:cs="Times New Roman"/>
        </w:rPr>
        <w:t>.</w:t>
      </w:r>
    </w:p>
    <w:p w:rsidRPr="00163D0E" w:rsidR="002664BE" w:rsidP="00036E1F" w:rsidRDefault="002664BE" w14:paraId="5DD06680" w14:textId="77777777">
      <w:pPr>
        <w:pStyle w:val="ListParagraph"/>
        <w:spacing w:line="360" w:lineRule="auto"/>
        <w:rPr>
          <w:rFonts w:ascii="Times New Roman" w:hAnsi="Times New Roman" w:cs="Times New Roman"/>
        </w:rPr>
      </w:pPr>
    </w:p>
    <w:p w:rsidRPr="00163D0E" w:rsidR="00991589" w:rsidP="00036E1F" w:rsidRDefault="00624E98" w14:paraId="1B9E3868" w14:textId="28A54B3B">
      <w:pPr>
        <w:pStyle w:val="ListParagraph"/>
        <w:numPr>
          <w:ilvl w:val="0"/>
          <w:numId w:val="1"/>
        </w:numPr>
        <w:spacing w:line="360" w:lineRule="auto"/>
        <w:rPr>
          <w:rFonts w:ascii="Times New Roman" w:hAnsi="Times New Roman" w:cs="Times New Roman"/>
          <w:i/>
          <w:iCs/>
        </w:rPr>
      </w:pPr>
      <w:r w:rsidRPr="00163D0E">
        <w:rPr>
          <w:rFonts w:ascii="Times New Roman" w:hAnsi="Times New Roman" w:cs="Times New Roman"/>
        </w:rPr>
        <w:t xml:space="preserve"> </w:t>
      </w:r>
      <w:r w:rsidRPr="00163D0E" w:rsidR="002664BE">
        <w:rPr>
          <w:rFonts w:ascii="Times New Roman" w:hAnsi="Times New Roman" w:cs="Times New Roman"/>
        </w:rPr>
        <w:t>The Order Land is also located in a defined priority Inner Area Neighbourhood (Talbot and Brunswick</w:t>
      </w:r>
      <w:r w:rsidRPr="00163D0E" w:rsidR="00554110">
        <w:rPr>
          <w:rStyle w:val="FootnoteReference"/>
          <w:rFonts w:ascii="Times New Roman" w:hAnsi="Times New Roman" w:cs="Times New Roman"/>
        </w:rPr>
        <w:footnoteReference w:id="50"/>
      </w:r>
      <w:r w:rsidRPr="00163D0E" w:rsidR="002664BE">
        <w:rPr>
          <w:rFonts w:ascii="Times New Roman" w:hAnsi="Times New Roman" w:cs="Times New Roman"/>
        </w:rPr>
        <w:t xml:space="preserve">), where development and investment </w:t>
      </w:r>
      <w:r w:rsidRPr="00163D0E" w:rsidR="0007427B">
        <w:rPr>
          <w:rFonts w:ascii="Times New Roman" w:hAnsi="Times New Roman" w:cs="Times New Roman"/>
        </w:rPr>
        <w:t>are</w:t>
      </w:r>
      <w:r w:rsidRPr="00163D0E" w:rsidR="002664BE">
        <w:rPr>
          <w:rFonts w:ascii="Times New Roman" w:hAnsi="Times New Roman" w:cs="Times New Roman"/>
        </w:rPr>
        <w:t xml:space="preserve"> identified as being </w:t>
      </w:r>
      <w:r w:rsidRPr="00163D0E" w:rsidR="002664BE">
        <w:rPr>
          <w:rFonts w:ascii="Times New Roman" w:hAnsi="Times New Roman" w:cs="Times New Roman"/>
          <w:i/>
          <w:iCs/>
        </w:rPr>
        <w:t>“most urgently needed”</w:t>
      </w:r>
      <w:r w:rsidRPr="00163D0E" w:rsidR="002664BE">
        <w:rPr>
          <w:rStyle w:val="FootnoteReference"/>
          <w:rFonts w:ascii="Times New Roman" w:hAnsi="Times New Roman" w:cs="Times New Roman"/>
          <w:i/>
          <w:iCs/>
        </w:rPr>
        <w:footnoteReference w:id="51"/>
      </w:r>
      <w:r w:rsidRPr="00163D0E" w:rsidR="002664BE">
        <w:rPr>
          <w:rFonts w:ascii="Times New Roman" w:hAnsi="Times New Roman" w:cs="Times New Roman"/>
        </w:rPr>
        <w:t>. In these areas, pursuant to Policy CS12, regeneration, investment and improvement are specifically supported, including, as necessary, through site assembly to facilitate major redevelopment schemes</w:t>
      </w:r>
      <w:r w:rsidRPr="00163D0E" w:rsidR="00991589">
        <w:rPr>
          <w:rFonts w:ascii="Times New Roman" w:hAnsi="Times New Roman" w:cs="Times New Roman"/>
        </w:rPr>
        <w:t>,</w:t>
      </w:r>
      <w:r w:rsidRPr="00163D0E" w:rsidR="002664BE">
        <w:rPr>
          <w:rFonts w:ascii="Times New Roman" w:hAnsi="Times New Roman" w:cs="Times New Roman"/>
        </w:rPr>
        <w:t xml:space="preserve"> and th</w:t>
      </w:r>
      <w:r w:rsidRPr="00163D0E" w:rsidR="00991589">
        <w:rPr>
          <w:rFonts w:ascii="Times New Roman" w:hAnsi="Times New Roman" w:cs="Times New Roman"/>
        </w:rPr>
        <w:t>rough the</w:t>
      </w:r>
      <w:r w:rsidRPr="00163D0E" w:rsidR="002664BE">
        <w:rPr>
          <w:rFonts w:ascii="Times New Roman" w:hAnsi="Times New Roman" w:cs="Times New Roman"/>
        </w:rPr>
        <w:t xml:space="preserve"> selective or comprehensive redevelopment of key sites</w:t>
      </w:r>
      <w:r w:rsidRPr="00163D0E" w:rsidR="002664BE">
        <w:rPr>
          <w:rStyle w:val="FootnoteReference"/>
          <w:rFonts w:ascii="Times New Roman" w:hAnsi="Times New Roman" w:cs="Times New Roman"/>
        </w:rPr>
        <w:footnoteReference w:id="52"/>
      </w:r>
      <w:r w:rsidRPr="00163D0E" w:rsidR="002664BE">
        <w:rPr>
          <w:rFonts w:ascii="Times New Roman" w:hAnsi="Times New Roman" w:cs="Times New Roman"/>
        </w:rPr>
        <w:t>. It is also of note that Policy CS12 specifically supports high quality community facilities that are accessible to all, and development that creates a healthy, safe, secure and attractive environment and public realm, which promotes local pride and a sense of place</w:t>
      </w:r>
      <w:r w:rsidRPr="00163D0E" w:rsidR="002664BE">
        <w:rPr>
          <w:rStyle w:val="FootnoteReference"/>
          <w:rFonts w:ascii="Times New Roman" w:hAnsi="Times New Roman" w:cs="Times New Roman"/>
        </w:rPr>
        <w:footnoteReference w:id="53"/>
      </w:r>
      <w:r w:rsidRPr="00163D0E" w:rsidR="002664BE">
        <w:rPr>
          <w:rFonts w:ascii="Times New Roman" w:hAnsi="Times New Roman" w:cs="Times New Roman"/>
        </w:rPr>
        <w:t xml:space="preserve">. </w:t>
      </w:r>
      <w:r w:rsidRPr="00163D0E" w:rsidR="00554110">
        <w:rPr>
          <w:rFonts w:ascii="Times New Roman" w:hAnsi="Times New Roman" w:cs="Times New Roman"/>
        </w:rPr>
        <w:t>The reasoned explanation to the policy (6.13</w:t>
      </w:r>
      <w:r w:rsidRPr="00163D0E" w:rsidR="00554110">
        <w:rPr>
          <w:rStyle w:val="FootnoteReference"/>
          <w:rFonts w:ascii="Times New Roman" w:hAnsi="Times New Roman" w:cs="Times New Roman"/>
        </w:rPr>
        <w:footnoteReference w:id="54"/>
      </w:r>
      <w:r w:rsidRPr="00163D0E" w:rsidR="00554110">
        <w:rPr>
          <w:rFonts w:ascii="Times New Roman" w:hAnsi="Times New Roman" w:cs="Times New Roman"/>
        </w:rPr>
        <w:t>) recognises that</w:t>
      </w:r>
      <w:r w:rsidRPr="00163D0E" w:rsidR="00991589">
        <w:rPr>
          <w:rFonts w:ascii="Times New Roman" w:hAnsi="Times New Roman" w:cs="Times New Roman"/>
        </w:rPr>
        <w:t>,</w:t>
      </w:r>
    </w:p>
    <w:p w:rsidRPr="00163D0E" w:rsidR="00991589" w:rsidP="00991589" w:rsidRDefault="00991589" w14:paraId="1FE6A861" w14:textId="77777777">
      <w:pPr>
        <w:pStyle w:val="ListParagraph"/>
        <w:rPr>
          <w:rFonts w:ascii="Times New Roman" w:hAnsi="Times New Roman" w:cs="Times New Roman"/>
        </w:rPr>
      </w:pPr>
    </w:p>
    <w:p w:rsidRPr="00163D0E" w:rsidR="002664BE" w:rsidP="00991589" w:rsidRDefault="00554110" w14:paraId="62019C2A" w14:textId="7C2DCC54">
      <w:pPr>
        <w:pStyle w:val="ListParagraph"/>
        <w:spacing w:line="360" w:lineRule="auto"/>
        <w:rPr>
          <w:rFonts w:ascii="Times New Roman" w:hAnsi="Times New Roman" w:cs="Times New Roman"/>
        </w:rPr>
      </w:pPr>
      <w:r w:rsidRPr="00163D0E">
        <w:rPr>
          <w:rFonts w:ascii="Times New Roman" w:hAnsi="Times New Roman" w:cs="Times New Roman"/>
        </w:rPr>
        <w:t xml:space="preserve"> </w:t>
      </w:r>
      <w:r w:rsidRPr="00163D0E">
        <w:rPr>
          <w:rFonts w:ascii="Times New Roman" w:hAnsi="Times New Roman" w:cs="Times New Roman"/>
          <w:i/>
          <w:iCs/>
        </w:rPr>
        <w:t xml:space="preserve">“it is </w:t>
      </w:r>
      <w:r w:rsidRPr="00163D0E">
        <w:rPr>
          <w:rFonts w:ascii="Times New Roman" w:hAnsi="Times New Roman" w:cs="Times New Roman"/>
          <w:i/>
          <w:iCs/>
          <w:u w:val="single"/>
        </w:rPr>
        <w:t>vital</w:t>
      </w:r>
      <w:r w:rsidRPr="00163D0E">
        <w:rPr>
          <w:rFonts w:ascii="Times New Roman" w:hAnsi="Times New Roman" w:cs="Times New Roman"/>
          <w:i/>
          <w:iCs/>
        </w:rPr>
        <w:t xml:space="preserve">… that new development and investment takes place to improve the quality of the built and natural environment and address the economic and social issues evident in these </w:t>
      </w:r>
      <w:proofErr w:type="gramStart"/>
      <w:r w:rsidRPr="00163D0E">
        <w:rPr>
          <w:rFonts w:ascii="Times New Roman" w:hAnsi="Times New Roman" w:cs="Times New Roman"/>
          <w:i/>
          <w:iCs/>
        </w:rPr>
        <w:t>areas”</w:t>
      </w:r>
      <w:r w:rsidRPr="00163D0E" w:rsidR="00991589">
        <w:rPr>
          <w:rFonts w:ascii="Times New Roman" w:hAnsi="Times New Roman" w:cs="Times New Roman"/>
        </w:rPr>
        <w:t>(</w:t>
      </w:r>
      <w:proofErr w:type="gramEnd"/>
      <w:r w:rsidRPr="00163D0E" w:rsidR="00991589">
        <w:rPr>
          <w:rFonts w:ascii="Times New Roman" w:hAnsi="Times New Roman" w:cs="Times New Roman"/>
        </w:rPr>
        <w:t>emphasis added).</w:t>
      </w:r>
    </w:p>
    <w:p w:rsidRPr="00163D0E" w:rsidR="00554110" w:rsidP="00036E1F" w:rsidRDefault="00554110" w14:paraId="5F1D4265" w14:textId="77777777">
      <w:pPr>
        <w:pStyle w:val="ListParagraph"/>
        <w:spacing w:line="360" w:lineRule="auto"/>
        <w:rPr>
          <w:rFonts w:ascii="Times New Roman" w:hAnsi="Times New Roman" w:cs="Times New Roman"/>
          <w:i/>
          <w:iCs/>
        </w:rPr>
      </w:pPr>
    </w:p>
    <w:p w:rsidRPr="00163D0E" w:rsidR="00554110" w:rsidP="00036E1F" w:rsidRDefault="00554110" w14:paraId="4D1FFC42" w14:textId="57254BE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As set out, policy CS1 also supports the growth and regeneration of the town centre. Directing investment towards this area, and improving the quality of its buildings, streets, spaces, connectivity and accessibility are also promoted by policy CS17</w:t>
      </w:r>
      <w:r w:rsidRPr="00163D0E">
        <w:rPr>
          <w:rStyle w:val="FootnoteReference"/>
          <w:rFonts w:ascii="Times New Roman" w:hAnsi="Times New Roman" w:cs="Times New Roman"/>
        </w:rPr>
        <w:footnoteReference w:id="55"/>
      </w:r>
      <w:r w:rsidRPr="00163D0E">
        <w:rPr>
          <w:rFonts w:ascii="Times New Roman" w:hAnsi="Times New Roman" w:cs="Times New Roman"/>
        </w:rPr>
        <w:t>. Policy CS19 promotes and encourages the comprehensive redevelopment of the Central Business District (Talbot Gateway). As set out above, the Order Lands are located outside, but immediately adjacent to</w:t>
      </w:r>
      <w:r w:rsidRPr="00163D0E" w:rsidR="00991589">
        <w:rPr>
          <w:rFonts w:ascii="Times New Roman" w:hAnsi="Times New Roman" w:cs="Times New Roman"/>
        </w:rPr>
        <w:t>,</w:t>
      </w:r>
      <w:r w:rsidRPr="00163D0E">
        <w:rPr>
          <w:rFonts w:ascii="Times New Roman" w:hAnsi="Times New Roman" w:cs="Times New Roman"/>
        </w:rPr>
        <w:t xml:space="preserve"> the town centre boundary, and this is the next phase of growth for this area. However, the scheme will plainly support the key </w:t>
      </w:r>
      <w:r w:rsidRPr="00163D0E">
        <w:rPr>
          <w:rFonts w:ascii="Times New Roman" w:hAnsi="Times New Roman" w:cs="Times New Roman"/>
        </w:rPr>
        <w:lastRenderedPageBreak/>
        <w:t xml:space="preserve">objectives of the policy by supporting the regeneration of the Talbot Gateway </w:t>
      </w:r>
      <w:r w:rsidRPr="00163D0E" w:rsidR="00991589">
        <w:rPr>
          <w:rFonts w:ascii="Times New Roman" w:hAnsi="Times New Roman" w:cs="Times New Roman"/>
        </w:rPr>
        <w:t>and</w:t>
      </w:r>
      <w:r w:rsidRPr="00163D0E">
        <w:rPr>
          <w:rFonts w:ascii="Times New Roman" w:hAnsi="Times New Roman" w:cs="Times New Roman"/>
        </w:rPr>
        <w:t xml:space="preserve"> building on the success of the wider regeneration proposals to date, increasing footfall to the town centre, and supporting significant investment in this area.</w:t>
      </w:r>
    </w:p>
    <w:p w:rsidRPr="00163D0E" w:rsidR="002664BE" w:rsidP="00036E1F" w:rsidRDefault="002664BE" w14:paraId="72D0ED6B" w14:textId="77777777">
      <w:pPr>
        <w:pStyle w:val="ListParagraph"/>
        <w:spacing w:line="360" w:lineRule="auto"/>
        <w:rPr>
          <w:rFonts w:ascii="Times New Roman" w:hAnsi="Times New Roman" w:cs="Times New Roman"/>
        </w:rPr>
      </w:pPr>
    </w:p>
    <w:p w:rsidRPr="00163D0E" w:rsidR="002664BE" w:rsidP="00036E1F" w:rsidRDefault="00624E98" w14:paraId="0084FCBA" w14:textId="711EAEFD">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Order Land is, therefore, </w:t>
      </w:r>
      <w:r w:rsidRPr="00163D0E" w:rsidR="002664BE">
        <w:rPr>
          <w:rFonts w:ascii="Times New Roman" w:hAnsi="Times New Roman" w:cs="Times New Roman"/>
        </w:rPr>
        <w:t>located</w:t>
      </w:r>
      <w:r w:rsidRPr="00163D0E" w:rsidR="00554110">
        <w:rPr>
          <w:rFonts w:ascii="Times New Roman" w:hAnsi="Times New Roman" w:cs="Times New Roman"/>
        </w:rPr>
        <w:t xml:space="preserve"> both</w:t>
      </w:r>
      <w:r w:rsidRPr="00163D0E" w:rsidR="002664BE">
        <w:rPr>
          <w:rFonts w:ascii="Times New Roman" w:hAnsi="Times New Roman" w:cs="Times New Roman"/>
        </w:rPr>
        <w:t xml:space="preserve"> within</w:t>
      </w:r>
      <w:r w:rsidRPr="00163D0E" w:rsidR="00554110">
        <w:rPr>
          <w:rStyle w:val="FootnoteReference"/>
          <w:rFonts w:ascii="Times New Roman" w:hAnsi="Times New Roman" w:cs="Times New Roman"/>
        </w:rPr>
        <w:footnoteReference w:id="56"/>
      </w:r>
      <w:r w:rsidRPr="00163D0E" w:rsidR="002664BE">
        <w:rPr>
          <w:rFonts w:ascii="Times New Roman" w:hAnsi="Times New Roman" w:cs="Times New Roman"/>
        </w:rPr>
        <w:t xml:space="preserve"> and adjacent to</w:t>
      </w:r>
      <w:r w:rsidRPr="00163D0E" w:rsidR="002664BE">
        <w:rPr>
          <w:rStyle w:val="FootnoteReference"/>
          <w:rFonts w:ascii="Times New Roman" w:hAnsi="Times New Roman" w:cs="Times New Roman"/>
        </w:rPr>
        <w:footnoteReference w:id="57"/>
      </w:r>
      <w:r w:rsidRPr="00163D0E" w:rsidR="002664BE">
        <w:rPr>
          <w:rFonts w:ascii="Times New Roman" w:hAnsi="Times New Roman" w:cs="Times New Roman"/>
        </w:rPr>
        <w:t xml:space="preserve"> areas that are </w:t>
      </w:r>
      <w:r w:rsidRPr="00163D0E">
        <w:rPr>
          <w:rFonts w:ascii="Times New Roman" w:hAnsi="Times New Roman" w:cs="Times New Roman"/>
        </w:rPr>
        <w:t>a focus for growth, development, investment</w:t>
      </w:r>
      <w:r w:rsidRPr="00163D0E" w:rsidR="00554110">
        <w:rPr>
          <w:rFonts w:ascii="Times New Roman" w:hAnsi="Times New Roman" w:cs="Times New Roman"/>
        </w:rPr>
        <w:t xml:space="preserve"> and </w:t>
      </w:r>
      <w:r w:rsidRPr="00163D0E">
        <w:rPr>
          <w:rFonts w:ascii="Times New Roman" w:hAnsi="Times New Roman" w:cs="Times New Roman"/>
        </w:rPr>
        <w:t>regeneration</w:t>
      </w:r>
      <w:r w:rsidRPr="00163D0E" w:rsidR="002664BE">
        <w:rPr>
          <w:rFonts w:ascii="Times New Roman" w:hAnsi="Times New Roman" w:cs="Times New Roman"/>
        </w:rPr>
        <w:t xml:space="preserve"> in the development plan,</w:t>
      </w:r>
      <w:r w:rsidRPr="00163D0E">
        <w:rPr>
          <w:rFonts w:ascii="Times New Roman" w:hAnsi="Times New Roman" w:cs="Times New Roman"/>
        </w:rPr>
        <w:t xml:space="preserve"> and the </w:t>
      </w:r>
      <w:r w:rsidRPr="00163D0E" w:rsidR="005349D3">
        <w:rPr>
          <w:rFonts w:ascii="Times New Roman" w:hAnsi="Times New Roman" w:cs="Times New Roman"/>
        </w:rPr>
        <w:t xml:space="preserve">scheme for which the Order Land is to be acquired </w:t>
      </w:r>
      <w:r w:rsidRPr="00163D0E" w:rsidR="00554110">
        <w:rPr>
          <w:rFonts w:ascii="Times New Roman" w:hAnsi="Times New Roman" w:cs="Times New Roman"/>
          <w:i/>
          <w:iCs/>
        </w:rPr>
        <w:t>“fits in”</w:t>
      </w:r>
      <w:r w:rsidRPr="00163D0E">
        <w:rPr>
          <w:rFonts w:ascii="Times New Roman" w:hAnsi="Times New Roman" w:cs="Times New Roman"/>
        </w:rPr>
        <w:t xml:space="preserve"> with </w:t>
      </w:r>
      <w:r w:rsidRPr="00163D0E" w:rsidR="002664BE">
        <w:rPr>
          <w:rFonts w:ascii="Times New Roman" w:hAnsi="Times New Roman" w:cs="Times New Roman"/>
        </w:rPr>
        <w:t>the vision, spatial focus, and overarching spatial policies and priorities of the adopted plan (CS1 and CS12).</w:t>
      </w:r>
    </w:p>
    <w:p w:rsidRPr="00163D0E" w:rsidR="002664BE" w:rsidP="00036E1F" w:rsidRDefault="002664BE" w14:paraId="08E028CA" w14:textId="77777777">
      <w:pPr>
        <w:pStyle w:val="ListParagraph"/>
        <w:spacing w:line="360" w:lineRule="auto"/>
        <w:rPr>
          <w:rFonts w:ascii="Times New Roman" w:hAnsi="Times New Roman" w:cs="Times New Roman"/>
        </w:rPr>
      </w:pPr>
    </w:p>
    <w:p w:rsidRPr="00163D0E" w:rsidR="00554110" w:rsidP="00036E1F" w:rsidRDefault="00624E98" w14:paraId="2E51409B" w14:textId="0AA483E9">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 </w:t>
      </w:r>
      <w:r w:rsidRPr="00163D0E" w:rsidR="00554110">
        <w:rPr>
          <w:rFonts w:ascii="Times New Roman" w:hAnsi="Times New Roman" w:cs="Times New Roman"/>
        </w:rPr>
        <w:t>In terms of the type of development proposed, Policy CS3 recognises that, to strengthen economic prosperity, there is a need to improve employment opportunities for Blackpool residents, and that this includes a focus on developing and delivering an effective skills agenda to ensure local people have the necessary skills, improve aspiration and opportunities for people to move into work</w:t>
      </w:r>
      <w:r w:rsidRPr="00163D0E" w:rsidR="00237245">
        <w:rPr>
          <w:rFonts w:ascii="Times New Roman" w:hAnsi="Times New Roman" w:cs="Times New Roman"/>
        </w:rPr>
        <w:t xml:space="preserve">, the retention of </w:t>
      </w:r>
      <w:r w:rsidRPr="00163D0E" w:rsidR="00554110">
        <w:rPr>
          <w:rFonts w:ascii="Times New Roman" w:hAnsi="Times New Roman" w:cs="Times New Roman"/>
        </w:rPr>
        <w:t xml:space="preserve">skilled people in Blackpool, and </w:t>
      </w:r>
      <w:r w:rsidRPr="00163D0E" w:rsidR="00237245">
        <w:rPr>
          <w:rFonts w:ascii="Times New Roman" w:hAnsi="Times New Roman" w:cs="Times New Roman"/>
        </w:rPr>
        <w:t xml:space="preserve">to </w:t>
      </w:r>
      <w:r w:rsidRPr="00163D0E" w:rsidR="00070FB0">
        <w:rPr>
          <w:rFonts w:ascii="Times New Roman" w:hAnsi="Times New Roman" w:cs="Times New Roman"/>
        </w:rPr>
        <w:t xml:space="preserve">secure </w:t>
      </w:r>
      <w:r w:rsidRPr="00163D0E" w:rsidR="00554110">
        <w:rPr>
          <w:rFonts w:ascii="Times New Roman" w:hAnsi="Times New Roman" w:cs="Times New Roman"/>
        </w:rPr>
        <w:t xml:space="preserve">inward investment into </w:t>
      </w:r>
      <w:r w:rsidRPr="00163D0E" w:rsidR="00237245">
        <w:rPr>
          <w:rFonts w:ascii="Times New Roman" w:hAnsi="Times New Roman" w:cs="Times New Roman"/>
        </w:rPr>
        <w:t>the Town</w:t>
      </w:r>
      <w:r w:rsidRPr="00163D0E" w:rsidR="00554110">
        <w:rPr>
          <w:rFonts w:ascii="Times New Roman" w:hAnsi="Times New Roman" w:cs="Times New Roman"/>
        </w:rPr>
        <w:t>. Policy CS15 (4a) directly supports development that enables the provision of high quality and new</w:t>
      </w:r>
      <w:r w:rsidRPr="00163D0E" w:rsidR="00070FB0">
        <w:rPr>
          <w:rFonts w:ascii="Times New Roman" w:hAnsi="Times New Roman" w:cs="Times New Roman"/>
        </w:rPr>
        <w:t>,</w:t>
      </w:r>
      <w:r w:rsidRPr="00163D0E" w:rsidR="00554110">
        <w:rPr>
          <w:rFonts w:ascii="Times New Roman" w:hAnsi="Times New Roman" w:cs="Times New Roman"/>
        </w:rPr>
        <w:t xml:space="preserve"> improved educational facilities, including “</w:t>
      </w:r>
      <w:r w:rsidRPr="00163D0E" w:rsidR="00554110">
        <w:rPr>
          <w:rFonts w:ascii="Times New Roman" w:hAnsi="Times New Roman" w:cs="Times New Roman"/>
          <w:i/>
          <w:iCs/>
        </w:rPr>
        <w:t>the expansion, modernisation and enhancement of Blackpool’s higher and further education facilities, working closely with the relevant establishments”</w:t>
      </w:r>
      <w:r w:rsidRPr="00163D0E" w:rsidR="00554110">
        <w:rPr>
          <w:rStyle w:val="FootnoteReference"/>
          <w:rFonts w:ascii="Times New Roman" w:hAnsi="Times New Roman" w:cs="Times New Roman"/>
          <w:i/>
          <w:iCs/>
        </w:rPr>
        <w:footnoteReference w:id="58"/>
      </w:r>
      <w:r w:rsidRPr="00163D0E" w:rsidR="00554110">
        <w:rPr>
          <w:rFonts w:ascii="Times New Roman" w:hAnsi="Times New Roman" w:cs="Times New Roman"/>
          <w:i/>
          <w:iCs/>
        </w:rPr>
        <w:t xml:space="preserve">. </w:t>
      </w:r>
      <w:r w:rsidRPr="00163D0E" w:rsidR="00554110">
        <w:rPr>
          <w:rFonts w:ascii="Times New Roman" w:hAnsi="Times New Roman" w:cs="Times New Roman"/>
        </w:rPr>
        <w:t>Policy CS15</w:t>
      </w:r>
      <w:r w:rsidRPr="00163D0E" w:rsidR="00554110">
        <w:rPr>
          <w:rFonts w:ascii="Times New Roman" w:hAnsi="Times New Roman" w:cs="Times New Roman"/>
          <w:i/>
          <w:iCs/>
        </w:rPr>
        <w:t xml:space="preserve"> </w:t>
      </w:r>
      <w:r w:rsidRPr="00163D0E" w:rsidR="00554110">
        <w:rPr>
          <w:rFonts w:ascii="Times New Roman" w:hAnsi="Times New Roman" w:cs="Times New Roman"/>
        </w:rPr>
        <w:t>(1) supports development that improves the integration of education facilities, increasing community access and participation, and reducing the need to travel.</w:t>
      </w:r>
    </w:p>
    <w:p w:rsidRPr="00163D0E" w:rsidR="00554110" w:rsidP="00036E1F" w:rsidRDefault="00554110" w14:paraId="7E284A67" w14:textId="77777777">
      <w:pPr>
        <w:pStyle w:val="ListParagraph"/>
        <w:spacing w:line="360" w:lineRule="auto"/>
        <w:rPr>
          <w:rFonts w:ascii="Times New Roman" w:hAnsi="Times New Roman" w:cs="Times New Roman"/>
        </w:rPr>
      </w:pPr>
    </w:p>
    <w:p w:rsidRPr="00163D0E" w:rsidR="00554110" w:rsidP="00036E1F" w:rsidRDefault="00554110" w14:paraId="363CE2D7" w14:textId="08153466">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 Again, </w:t>
      </w:r>
      <w:proofErr w:type="gramStart"/>
      <w:r w:rsidRPr="00163D0E">
        <w:rPr>
          <w:rFonts w:ascii="Times New Roman" w:hAnsi="Times New Roman" w:cs="Times New Roman"/>
        </w:rPr>
        <w:t>it is clear that the</w:t>
      </w:r>
      <w:proofErr w:type="gramEnd"/>
      <w:r w:rsidRPr="00163D0E">
        <w:rPr>
          <w:rFonts w:ascii="Times New Roman" w:hAnsi="Times New Roman" w:cs="Times New Roman"/>
        </w:rPr>
        <w:t xml:space="preserve"> proposals directly deliver against these strategic policies and their objectives. Indeed, Paragraph 5.46 of the reasoned explanation provides further, specific support for the proposal as </w:t>
      </w:r>
      <w:proofErr w:type="gramStart"/>
      <w:r w:rsidRPr="00163D0E">
        <w:rPr>
          <w:rFonts w:ascii="Times New Roman" w:hAnsi="Times New Roman" w:cs="Times New Roman"/>
        </w:rPr>
        <w:t>follows:,</w:t>
      </w:r>
      <w:proofErr w:type="gramEnd"/>
    </w:p>
    <w:p w:rsidRPr="00163D0E" w:rsidR="00554110" w:rsidP="00036E1F" w:rsidRDefault="00554110" w14:paraId="046DB514" w14:textId="77777777">
      <w:pPr>
        <w:pStyle w:val="ListParagraph"/>
        <w:spacing w:line="360" w:lineRule="auto"/>
        <w:rPr>
          <w:rFonts w:ascii="Times New Roman" w:hAnsi="Times New Roman" w:cs="Times New Roman"/>
        </w:rPr>
      </w:pPr>
    </w:p>
    <w:p w:rsidRPr="00163D0E" w:rsidR="00554110" w:rsidP="00036E1F" w:rsidRDefault="00554110" w14:paraId="65FF08D5" w14:textId="6A8F8920">
      <w:pPr>
        <w:pStyle w:val="ListParagraph"/>
        <w:spacing w:line="360" w:lineRule="auto"/>
        <w:ind w:firstLine="720"/>
        <w:rPr>
          <w:rFonts w:ascii="Times New Roman" w:hAnsi="Times New Roman" w:cs="Times New Roman"/>
          <w:i/>
          <w:iCs/>
          <w:u w:val="single"/>
        </w:rPr>
      </w:pPr>
      <w:r w:rsidRPr="00163D0E">
        <w:rPr>
          <w:rFonts w:ascii="Times New Roman" w:hAnsi="Times New Roman" w:cs="Times New Roman"/>
          <w:i/>
          <w:iCs/>
        </w:rPr>
        <w:t>“5.</w:t>
      </w:r>
      <w:r w:rsidRPr="00163D0E">
        <w:rPr>
          <w:rFonts w:ascii="Times New Roman" w:hAnsi="Times New Roman" w:cs="Times New Roman"/>
          <w:i/>
          <w:iCs/>
          <w:u w:val="single"/>
        </w:rPr>
        <w:t>46 The Core Strategy sets the framework for sustainable economic development to support a strengthened local economy. To improve employment</w:t>
      </w:r>
    </w:p>
    <w:p w:rsidRPr="00163D0E" w:rsidR="00554110" w:rsidP="005349D3" w:rsidRDefault="00554110" w14:paraId="1A81E653" w14:textId="3DA430F0">
      <w:pPr>
        <w:pStyle w:val="ListParagraph"/>
        <w:spacing w:line="360" w:lineRule="auto"/>
        <w:rPr>
          <w:rFonts w:ascii="Times New Roman" w:hAnsi="Times New Roman" w:cs="Times New Roman"/>
          <w:i/>
          <w:iCs/>
          <w:u w:val="single"/>
        </w:rPr>
      </w:pPr>
      <w:r w:rsidRPr="00163D0E">
        <w:rPr>
          <w:rFonts w:ascii="Times New Roman" w:hAnsi="Times New Roman" w:cs="Times New Roman"/>
          <w:i/>
          <w:iCs/>
          <w:u w:val="single"/>
        </w:rPr>
        <w:t>prospects for Blackpool residents, it is important that local people have the necessary skills and aspirations to access future jobs</w:t>
      </w:r>
      <w:r w:rsidRPr="00163D0E">
        <w:rPr>
          <w:rFonts w:ascii="Times New Roman" w:hAnsi="Times New Roman" w:cs="Times New Roman"/>
          <w:i/>
          <w:iCs/>
        </w:rPr>
        <w:t xml:space="preserve">. Evidence shows there is an improving </w:t>
      </w:r>
      <w:r w:rsidRPr="00163D0E">
        <w:rPr>
          <w:rFonts w:ascii="Times New Roman" w:hAnsi="Times New Roman" w:cs="Times New Roman"/>
          <w:i/>
          <w:iCs/>
        </w:rPr>
        <w:lastRenderedPageBreak/>
        <w:t xml:space="preserve">skills profile within the Blackpool resident base, which will need to continue in the future. Blackpool Council is working to develop strong links with schools, colleges, employment support services and key employers to support skills attainment and progression. Blackpool has a significant Further Education presence and a small, but growing, Higher Education presence. </w:t>
      </w:r>
      <w:r w:rsidRPr="00163D0E">
        <w:rPr>
          <w:rFonts w:ascii="Times New Roman" w:hAnsi="Times New Roman" w:cs="Times New Roman"/>
          <w:i/>
          <w:iCs/>
          <w:u w:val="single"/>
        </w:rPr>
        <w:t>These education providers will have a key role to play in ensuring that local people are</w:t>
      </w:r>
      <w:r w:rsidRPr="00163D0E" w:rsidR="005349D3">
        <w:rPr>
          <w:rFonts w:ascii="Times New Roman" w:hAnsi="Times New Roman" w:cs="Times New Roman"/>
          <w:i/>
          <w:iCs/>
          <w:u w:val="single"/>
        </w:rPr>
        <w:t xml:space="preserve"> </w:t>
      </w:r>
      <w:r w:rsidRPr="00163D0E">
        <w:rPr>
          <w:rFonts w:ascii="Times New Roman" w:hAnsi="Times New Roman" w:cs="Times New Roman"/>
          <w:i/>
          <w:iCs/>
          <w:u w:val="single"/>
        </w:rPr>
        <w:t>well equipped to meet the skills requirements of future job opportunities if Blackpool is to successfully improve unemployment and economic activity rates.</w:t>
      </w:r>
      <w:r w:rsidRPr="00163D0E">
        <w:rPr>
          <w:rFonts w:ascii="Times New Roman" w:hAnsi="Times New Roman" w:cs="Times New Roman"/>
          <w:i/>
          <w:iCs/>
        </w:rPr>
        <w:t xml:space="preserve">” </w:t>
      </w:r>
      <w:r w:rsidRPr="00163D0E">
        <w:rPr>
          <w:rFonts w:ascii="Times New Roman" w:hAnsi="Times New Roman" w:cs="Times New Roman"/>
        </w:rPr>
        <w:t>(emphasis added)</w:t>
      </w:r>
    </w:p>
    <w:p w:rsidRPr="00163D0E" w:rsidR="00554110" w:rsidP="00036E1F" w:rsidRDefault="00554110" w14:paraId="58D72AE5" w14:textId="77777777">
      <w:pPr>
        <w:pStyle w:val="ListParagraph"/>
        <w:spacing w:line="360" w:lineRule="auto"/>
        <w:rPr>
          <w:rFonts w:ascii="Times New Roman" w:hAnsi="Times New Roman" w:cs="Times New Roman"/>
          <w:i/>
          <w:iCs/>
        </w:rPr>
      </w:pPr>
    </w:p>
    <w:p w:rsidRPr="00163D0E" w:rsidR="00554110" w:rsidP="00036E1F" w:rsidRDefault="00554110" w14:paraId="7A4554D8" w14:textId="749E21C5">
      <w:pPr>
        <w:pStyle w:val="ListParagraph"/>
        <w:spacing w:line="360" w:lineRule="auto"/>
        <w:rPr>
          <w:rFonts w:ascii="Times New Roman" w:hAnsi="Times New Roman" w:cs="Times New Roman"/>
        </w:rPr>
      </w:pPr>
      <w:r w:rsidRPr="00163D0E">
        <w:rPr>
          <w:rFonts w:ascii="Times New Roman" w:hAnsi="Times New Roman" w:cs="Times New Roman"/>
        </w:rPr>
        <w:t xml:space="preserve"> Paragraph 6.46 provides,</w:t>
      </w:r>
    </w:p>
    <w:p w:rsidRPr="00163D0E" w:rsidR="00554110" w:rsidP="005349D3" w:rsidRDefault="00554110" w14:paraId="209E8395" w14:textId="065B966E">
      <w:pPr>
        <w:spacing w:line="360" w:lineRule="auto"/>
        <w:ind w:left="720"/>
        <w:rPr>
          <w:rFonts w:ascii="Times New Roman" w:hAnsi="Times New Roman" w:cs="Times New Roman"/>
        </w:rPr>
      </w:pPr>
      <w:r w:rsidRPr="00163D0E">
        <w:rPr>
          <w:rFonts w:ascii="Times New Roman" w:hAnsi="Times New Roman" w:cs="Times New Roman"/>
          <w:i/>
          <w:iCs/>
        </w:rPr>
        <w:t xml:space="preserve">“6.46 </w:t>
      </w:r>
      <w:r w:rsidRPr="00163D0E">
        <w:rPr>
          <w:rFonts w:ascii="Times New Roman" w:hAnsi="Times New Roman" w:cs="Times New Roman"/>
          <w:i/>
          <w:iCs/>
          <w:u w:val="single"/>
        </w:rPr>
        <w:t>Education is vital to the regeneration of Blackpool</w:t>
      </w:r>
      <w:r w:rsidRPr="00163D0E">
        <w:rPr>
          <w:rFonts w:ascii="Times New Roman" w:hAnsi="Times New Roman" w:cs="Times New Roman"/>
          <w:i/>
          <w:iCs/>
        </w:rPr>
        <w:t xml:space="preserve">, to equip children, young people and adults with the necessary qualifications and skills to compete in the developing labour market. </w:t>
      </w:r>
      <w:r w:rsidRPr="00163D0E">
        <w:rPr>
          <w:rFonts w:ascii="Times New Roman" w:hAnsi="Times New Roman" w:cs="Times New Roman"/>
          <w:i/>
          <w:iCs/>
          <w:u w:val="single"/>
        </w:rPr>
        <w:t xml:space="preserve">An uplift in Blackpool’s level of educational attainment and skills at all levels is seen as essential to enhance the opportunities for the town’s children and young people, and to support inward investment and Blackpool’s </w:t>
      </w:r>
      <w:proofErr w:type="gramStart"/>
      <w:r w:rsidRPr="00163D0E">
        <w:rPr>
          <w:rFonts w:ascii="Times New Roman" w:hAnsi="Times New Roman" w:cs="Times New Roman"/>
          <w:i/>
          <w:iCs/>
          <w:u w:val="single"/>
        </w:rPr>
        <w:t>longer term</w:t>
      </w:r>
      <w:proofErr w:type="gramEnd"/>
      <w:r w:rsidRPr="00163D0E">
        <w:rPr>
          <w:rFonts w:ascii="Times New Roman" w:hAnsi="Times New Roman" w:cs="Times New Roman"/>
          <w:i/>
          <w:iCs/>
          <w:u w:val="single"/>
        </w:rPr>
        <w:t xml:space="preserve"> prosperity.” </w:t>
      </w:r>
      <w:r w:rsidRPr="00163D0E">
        <w:rPr>
          <w:rFonts w:ascii="Times New Roman" w:hAnsi="Times New Roman" w:cs="Times New Roman"/>
        </w:rPr>
        <w:t>(emphasis added)</w:t>
      </w:r>
      <w:r w:rsidRPr="00163D0E" w:rsidR="005349D3">
        <w:rPr>
          <w:rFonts w:ascii="Times New Roman" w:hAnsi="Times New Roman" w:cs="Times New Roman"/>
        </w:rPr>
        <w:t>.</w:t>
      </w:r>
    </w:p>
    <w:p w:rsidR="0007427B" w:rsidP="0007427B" w:rsidRDefault="0007427B" w14:paraId="6BE6CBE9" w14:textId="77777777">
      <w:pPr>
        <w:pStyle w:val="ListParagraph"/>
        <w:spacing w:line="360" w:lineRule="auto"/>
        <w:rPr>
          <w:rFonts w:ascii="Times New Roman" w:hAnsi="Times New Roman" w:cs="Times New Roman"/>
        </w:rPr>
      </w:pPr>
    </w:p>
    <w:p w:rsidRPr="00163D0E" w:rsidR="00554110" w:rsidP="00036E1F" w:rsidRDefault="00554110" w14:paraId="0F015936" w14:textId="1CA3C41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scheme also “fits in” with the NPPF, with </w:t>
      </w:r>
      <w:proofErr w:type="gramStart"/>
      <w:r w:rsidRPr="00163D0E">
        <w:rPr>
          <w:rFonts w:ascii="Times New Roman" w:hAnsi="Times New Roman" w:cs="Times New Roman"/>
        </w:rPr>
        <w:t>particular reference</w:t>
      </w:r>
      <w:proofErr w:type="gramEnd"/>
      <w:r w:rsidRPr="00163D0E">
        <w:rPr>
          <w:rFonts w:ascii="Times New Roman" w:hAnsi="Times New Roman" w:cs="Times New Roman"/>
        </w:rPr>
        <w:t xml:space="preserve"> to NPPF85, which supports decisions that help create the conditions in which businesses can invest and provides that significant weight should be placed on the need to support economic growth and productivity. The approach taken should allow each area to build on its strengths, counter any weaknesses, and address the challenges of the future. The scheme will plainly deliver against these important objectives. It will also deliver against NPPF123 and NPPF128, which promote the efficient effective use of land, whilst improving the local environment; NPPF131, which sets out that the creation of high quality, beautiful and sustainable buildings and places </w:t>
      </w:r>
      <w:r w:rsidRPr="00163D0E" w:rsidR="00070FB0">
        <w:rPr>
          <w:rFonts w:ascii="Times New Roman" w:hAnsi="Times New Roman" w:cs="Times New Roman"/>
        </w:rPr>
        <w:t xml:space="preserve">which are </w:t>
      </w:r>
      <w:r w:rsidRPr="00163D0E">
        <w:rPr>
          <w:rFonts w:ascii="Times New Roman" w:hAnsi="Times New Roman" w:cs="Times New Roman"/>
        </w:rPr>
        <w:t>fundamental to what the planning and development process should achieve; and NPPF135 which encourages development that function</w:t>
      </w:r>
      <w:r w:rsidRPr="00163D0E" w:rsidR="00FB2DB1">
        <w:rPr>
          <w:rFonts w:ascii="Times New Roman" w:hAnsi="Times New Roman" w:cs="Times New Roman"/>
        </w:rPr>
        <w:t>s</w:t>
      </w:r>
      <w:r w:rsidRPr="00163D0E">
        <w:rPr>
          <w:rFonts w:ascii="Times New Roman" w:hAnsi="Times New Roman" w:cs="Times New Roman"/>
        </w:rPr>
        <w:t xml:space="preserve"> well and add</w:t>
      </w:r>
      <w:r w:rsidRPr="00163D0E" w:rsidR="0091277B">
        <w:rPr>
          <w:rFonts w:ascii="Times New Roman" w:hAnsi="Times New Roman" w:cs="Times New Roman"/>
        </w:rPr>
        <w:t>s</w:t>
      </w:r>
      <w:r w:rsidRPr="00163D0E">
        <w:rPr>
          <w:rFonts w:ascii="Times New Roman" w:hAnsi="Times New Roman" w:cs="Times New Roman"/>
        </w:rPr>
        <w:t xml:space="preserve"> to the overall quality of the area, development that is visually attractive as a result of good architecture, layout, and appropriate and effective landscaping, development that establishes a strong sense of place and which creates attractive, welcoming and distinctive places to live, work and visit, and creates places that are safe, inclusive and accessible, and which promote health and </w:t>
      </w:r>
      <w:r w:rsidRPr="00163D0E" w:rsidR="0007427B">
        <w:rPr>
          <w:rFonts w:ascii="Times New Roman" w:hAnsi="Times New Roman" w:cs="Times New Roman"/>
        </w:rPr>
        <w:t>well-being</w:t>
      </w:r>
      <w:r w:rsidRPr="00163D0E">
        <w:rPr>
          <w:rFonts w:ascii="Times New Roman" w:hAnsi="Times New Roman" w:cs="Times New Roman"/>
        </w:rPr>
        <w:t>.</w:t>
      </w:r>
    </w:p>
    <w:p w:rsidRPr="00163D0E" w:rsidR="00554110" w:rsidP="00036E1F" w:rsidRDefault="00554110" w14:paraId="28EAB79F" w14:textId="77777777">
      <w:pPr>
        <w:pStyle w:val="ListParagraph"/>
        <w:spacing w:line="360" w:lineRule="auto"/>
        <w:rPr>
          <w:rFonts w:ascii="Times New Roman" w:hAnsi="Times New Roman" w:cs="Times New Roman"/>
        </w:rPr>
      </w:pPr>
    </w:p>
    <w:p w:rsidRPr="00163D0E" w:rsidR="00554110" w:rsidP="00036E1F" w:rsidRDefault="00554110" w14:paraId="1ED610A2" w14:textId="567F5E73">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In conclusion, the Core Strategy very clearly supports and promotes the high-quality regeneration scheme proposed on the Order Land, which is located within an area specifically identified for regeneration, growth, investment and opportunity. The purpose for which the CPO is</w:t>
      </w:r>
      <w:r w:rsidRPr="00163D0E" w:rsidR="00126201">
        <w:rPr>
          <w:rFonts w:ascii="Times New Roman" w:hAnsi="Times New Roman" w:cs="Times New Roman"/>
        </w:rPr>
        <w:t xml:space="preserve"> promoted</w:t>
      </w:r>
      <w:r w:rsidRPr="00163D0E">
        <w:rPr>
          <w:rFonts w:ascii="Times New Roman" w:hAnsi="Times New Roman" w:cs="Times New Roman"/>
        </w:rPr>
        <w:t xml:space="preserve"> very clearly “fits in” with the development plan for the area and its clear strategic framework, as well as with national policy in the NPPF</w:t>
      </w:r>
      <w:r w:rsidRPr="00163D0E">
        <w:rPr>
          <w:rStyle w:val="FootnoteReference"/>
          <w:rFonts w:ascii="Times New Roman" w:hAnsi="Times New Roman" w:cs="Times New Roman"/>
        </w:rPr>
        <w:footnoteReference w:id="59"/>
      </w:r>
      <w:r w:rsidRPr="00163D0E">
        <w:rPr>
          <w:rFonts w:ascii="Times New Roman" w:hAnsi="Times New Roman" w:cs="Times New Roman"/>
        </w:rPr>
        <w:t>.</w:t>
      </w:r>
    </w:p>
    <w:p w:rsidRPr="00163D0E" w:rsidR="00554110" w:rsidP="00036E1F" w:rsidRDefault="00554110" w14:paraId="5B545E5C" w14:textId="77777777">
      <w:pPr>
        <w:pStyle w:val="ListParagraph"/>
        <w:spacing w:line="360" w:lineRule="auto"/>
        <w:rPr>
          <w:rFonts w:ascii="Times New Roman" w:hAnsi="Times New Roman" w:cs="Times New Roman"/>
        </w:rPr>
      </w:pPr>
    </w:p>
    <w:p w:rsidRPr="00163D0E" w:rsidR="00554110" w:rsidP="00036E1F" w:rsidRDefault="00554110" w14:paraId="5464045C" w14:textId="452DCBDB">
      <w:pPr>
        <w:pStyle w:val="ListParagraph"/>
        <w:numPr>
          <w:ilvl w:val="0"/>
          <w:numId w:val="9"/>
        </w:numPr>
        <w:spacing w:line="360" w:lineRule="auto"/>
        <w:rPr>
          <w:rFonts w:ascii="Times New Roman" w:hAnsi="Times New Roman" w:cs="Times New Roman"/>
          <w:i/>
          <w:iCs/>
          <w:u w:val="single"/>
        </w:rPr>
      </w:pPr>
      <w:r w:rsidRPr="00163D0E">
        <w:rPr>
          <w:rFonts w:ascii="Times New Roman" w:hAnsi="Times New Roman" w:cs="Times New Roman"/>
          <w:i/>
          <w:iCs/>
          <w:u w:val="single"/>
        </w:rPr>
        <w:t>Whether the purpose for which the Authority is proposing to acquire the land could be achieve</w:t>
      </w:r>
      <w:r w:rsidRPr="00163D0E" w:rsidR="002C5712">
        <w:rPr>
          <w:rFonts w:ascii="Times New Roman" w:hAnsi="Times New Roman" w:cs="Times New Roman"/>
          <w:i/>
          <w:iCs/>
          <w:u w:val="single"/>
        </w:rPr>
        <w:t>d</w:t>
      </w:r>
      <w:r w:rsidRPr="00163D0E">
        <w:rPr>
          <w:rFonts w:ascii="Times New Roman" w:hAnsi="Times New Roman" w:cs="Times New Roman"/>
          <w:i/>
          <w:iCs/>
          <w:u w:val="single"/>
        </w:rPr>
        <w:t xml:space="preserve"> by any other means</w:t>
      </w:r>
      <w:r w:rsidRPr="00163D0E" w:rsidR="00147617">
        <w:rPr>
          <w:rStyle w:val="FootnoteReference"/>
          <w:rFonts w:ascii="Times New Roman" w:hAnsi="Times New Roman" w:cs="Times New Roman"/>
          <w:i/>
          <w:iCs/>
          <w:u w:val="single"/>
        </w:rPr>
        <w:footnoteReference w:id="60"/>
      </w:r>
    </w:p>
    <w:p w:rsidRPr="00163D0E" w:rsidR="00147617" w:rsidP="00036E1F" w:rsidRDefault="00147617" w14:paraId="3D54BA57" w14:textId="77777777">
      <w:pPr>
        <w:pStyle w:val="ListParagraph"/>
        <w:spacing w:line="360" w:lineRule="auto"/>
        <w:ind w:left="1080"/>
        <w:rPr>
          <w:rFonts w:ascii="Times New Roman" w:hAnsi="Times New Roman" w:cs="Times New Roman"/>
          <w:i/>
          <w:iCs/>
          <w:u w:val="single"/>
        </w:rPr>
      </w:pPr>
    </w:p>
    <w:p w:rsidRPr="00163D0E" w:rsidR="00554110" w:rsidP="002C5712" w:rsidRDefault="002C5712" w14:paraId="791F9637" w14:textId="62E73095">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purpose for which the Authority is proposing to acquire the land could not be achieved by other means.</w:t>
      </w:r>
    </w:p>
    <w:p w:rsidRPr="00163D0E" w:rsidR="002C5712" w:rsidP="002C5712" w:rsidRDefault="002C5712" w14:paraId="75FC1D48" w14:textId="77777777">
      <w:pPr>
        <w:pStyle w:val="ListParagraph"/>
        <w:spacing w:line="360" w:lineRule="auto"/>
        <w:rPr>
          <w:rFonts w:ascii="Times New Roman" w:hAnsi="Times New Roman" w:cs="Times New Roman"/>
        </w:rPr>
      </w:pPr>
    </w:p>
    <w:p w:rsidRPr="00163D0E" w:rsidR="002C5712" w:rsidP="00036E1F" w:rsidRDefault="00554110" w14:paraId="3EBB5D02" w14:textId="2376F1CE">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At the outset, the Council undertook a rigorous site selection exercise, which identified that this was the optimum site for development, </w:t>
      </w:r>
      <w:r w:rsidRPr="00163D0E" w:rsidR="002C5712">
        <w:rPr>
          <w:rFonts w:ascii="Times New Roman" w:hAnsi="Times New Roman" w:cs="Times New Roman"/>
        </w:rPr>
        <w:t xml:space="preserve">as </w:t>
      </w:r>
      <w:r w:rsidRPr="00163D0E">
        <w:rPr>
          <w:rFonts w:ascii="Times New Roman" w:hAnsi="Times New Roman" w:cs="Times New Roman"/>
        </w:rPr>
        <w:t>documented in the Stage One Report Assessment and Analysis</w:t>
      </w:r>
      <w:r w:rsidRPr="00163D0E">
        <w:rPr>
          <w:rStyle w:val="FootnoteReference"/>
          <w:rFonts w:ascii="Times New Roman" w:hAnsi="Times New Roman" w:cs="Times New Roman"/>
        </w:rPr>
        <w:footnoteReference w:id="61"/>
      </w:r>
      <w:r w:rsidRPr="00163D0E">
        <w:rPr>
          <w:rFonts w:ascii="Times New Roman" w:hAnsi="Times New Roman" w:cs="Times New Roman"/>
        </w:rPr>
        <w:t xml:space="preserve">. A key </w:t>
      </w:r>
      <w:r w:rsidRPr="00163D0E" w:rsidR="002C5712">
        <w:rPr>
          <w:rFonts w:ascii="Times New Roman" w:hAnsi="Times New Roman" w:cs="Times New Roman"/>
        </w:rPr>
        <w:t>criterion</w:t>
      </w:r>
      <w:r w:rsidRPr="00163D0E">
        <w:rPr>
          <w:rFonts w:ascii="Times New Roman" w:hAnsi="Times New Roman" w:cs="Times New Roman"/>
        </w:rPr>
        <w:t xml:space="preserve"> for the site selection process was adjacency to the town centre for the reasons set out in detail above. Some 11 sites were long listed, and 6 sites were taken forward for more detailed analysis. </w:t>
      </w:r>
      <w:r w:rsidRPr="00163D0E" w:rsidR="002C5712">
        <w:rPr>
          <w:rFonts w:ascii="Times New Roman" w:hAnsi="Times New Roman" w:cs="Times New Roman"/>
        </w:rPr>
        <w:t>The site selection process was revisited when the brief for the site (in terms of the size of the building) changed to reflect the LUF funding available to delivery Phase 1, but as KT explained, the conclusions remain valid</w:t>
      </w:r>
      <w:r w:rsidRPr="00163D0E" w:rsidR="002C5712">
        <w:rPr>
          <w:rStyle w:val="FootnoteReference"/>
          <w:rFonts w:ascii="Times New Roman" w:hAnsi="Times New Roman" w:cs="Times New Roman"/>
        </w:rPr>
        <w:footnoteReference w:id="62"/>
      </w:r>
      <w:r w:rsidRPr="00163D0E" w:rsidR="002C5712">
        <w:rPr>
          <w:rFonts w:ascii="Times New Roman" w:hAnsi="Times New Roman" w:cs="Times New Roman"/>
        </w:rPr>
        <w:t>.</w:t>
      </w:r>
    </w:p>
    <w:p w:rsidRPr="00163D0E" w:rsidR="002C5712" w:rsidP="002C5712" w:rsidRDefault="002C5712" w14:paraId="34EBFC28" w14:textId="77777777">
      <w:pPr>
        <w:pStyle w:val="ListParagraph"/>
        <w:rPr>
          <w:rFonts w:ascii="Times New Roman" w:hAnsi="Times New Roman" w:cs="Times New Roman"/>
        </w:rPr>
      </w:pPr>
    </w:p>
    <w:p w:rsidRPr="00163D0E" w:rsidR="002C5712" w:rsidP="00036E1F" w:rsidRDefault="00554110" w14:paraId="66993845" w14:textId="0018D2F6">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w:t>
      </w:r>
      <w:r w:rsidRPr="00163D0E" w:rsidR="002C5712">
        <w:rPr>
          <w:rFonts w:ascii="Times New Roman" w:hAnsi="Times New Roman" w:cs="Times New Roman"/>
        </w:rPr>
        <w:t>e robust site selection assessment</w:t>
      </w:r>
      <w:r w:rsidRPr="00163D0E">
        <w:rPr>
          <w:rFonts w:ascii="Times New Roman" w:hAnsi="Times New Roman" w:cs="Times New Roman"/>
        </w:rPr>
        <w:t xml:space="preserve"> included all the land included in the various site options </w:t>
      </w:r>
      <w:r w:rsidRPr="00163D0E" w:rsidR="002C5712">
        <w:rPr>
          <w:rFonts w:ascii="Times New Roman" w:hAnsi="Times New Roman" w:cs="Times New Roman"/>
        </w:rPr>
        <w:t xml:space="preserve">within the central area </w:t>
      </w:r>
      <w:r w:rsidRPr="00163D0E">
        <w:rPr>
          <w:rFonts w:ascii="Times New Roman" w:hAnsi="Times New Roman" w:cs="Times New Roman"/>
        </w:rPr>
        <w:t>that a</w:t>
      </w:r>
      <w:r w:rsidR="0007427B">
        <w:rPr>
          <w:rFonts w:ascii="Times New Roman" w:hAnsi="Times New Roman" w:cs="Times New Roman"/>
        </w:rPr>
        <w:t xml:space="preserve"> former</w:t>
      </w:r>
      <w:r w:rsidRPr="00163D0E">
        <w:rPr>
          <w:rFonts w:ascii="Times New Roman" w:hAnsi="Times New Roman" w:cs="Times New Roman"/>
        </w:rPr>
        <w:t xml:space="preserve"> objector to the Order, Mr. Whyte, suggested could be more suitable for the proposed development</w:t>
      </w:r>
      <w:r w:rsidR="0007427B">
        <w:rPr>
          <w:rStyle w:val="FootnoteReference"/>
          <w:rFonts w:ascii="Times New Roman" w:hAnsi="Times New Roman" w:cs="Times New Roman"/>
        </w:rPr>
        <w:footnoteReference w:id="63"/>
      </w:r>
      <w:r w:rsidRPr="00163D0E">
        <w:rPr>
          <w:rFonts w:ascii="Times New Roman" w:hAnsi="Times New Roman" w:cs="Times New Roman"/>
        </w:rPr>
        <w:t xml:space="preserve">. </w:t>
      </w:r>
      <w:r w:rsidRPr="00163D0E" w:rsidR="002C5712">
        <w:rPr>
          <w:rFonts w:ascii="Times New Roman" w:hAnsi="Times New Roman" w:cs="Times New Roman"/>
        </w:rPr>
        <w:t>However:</w:t>
      </w:r>
    </w:p>
    <w:p w:rsidRPr="00163D0E" w:rsidR="002C5712" w:rsidP="002C5712" w:rsidRDefault="002C5712" w14:paraId="1F10AD9F" w14:textId="77777777">
      <w:pPr>
        <w:pStyle w:val="ListParagraph"/>
        <w:rPr>
          <w:rFonts w:ascii="Times New Roman" w:hAnsi="Times New Roman" w:cs="Times New Roman"/>
        </w:rPr>
      </w:pPr>
    </w:p>
    <w:p w:rsidRPr="00163D0E" w:rsidR="00554110" w:rsidP="00036E1F" w:rsidRDefault="00554110" w14:paraId="0485F14B" w14:textId="43643E3F">
      <w:pPr>
        <w:pStyle w:val="ListParagraph"/>
        <w:numPr>
          <w:ilvl w:val="0"/>
          <w:numId w:val="10"/>
        </w:numPr>
        <w:spacing w:line="360" w:lineRule="auto"/>
        <w:rPr>
          <w:rFonts w:ascii="Times New Roman" w:hAnsi="Times New Roman" w:cs="Times New Roman"/>
        </w:rPr>
      </w:pPr>
      <w:r w:rsidRPr="00163D0E">
        <w:rPr>
          <w:rFonts w:ascii="Times New Roman" w:hAnsi="Times New Roman" w:cs="Times New Roman"/>
        </w:rPr>
        <w:t xml:space="preserve">These sites were all assessed by reference to </w:t>
      </w:r>
      <w:proofErr w:type="gramStart"/>
      <w:r w:rsidRPr="00163D0E">
        <w:rPr>
          <w:rFonts w:ascii="Times New Roman" w:hAnsi="Times New Roman" w:cs="Times New Roman"/>
        </w:rPr>
        <w:t>a number of</w:t>
      </w:r>
      <w:proofErr w:type="gramEnd"/>
      <w:r w:rsidRPr="00163D0E">
        <w:rPr>
          <w:rFonts w:ascii="Times New Roman" w:hAnsi="Times New Roman" w:cs="Times New Roman"/>
        </w:rPr>
        <w:t xml:space="preserve"> substantive considerations under the headings size, access, visibility, context, public realm </w:t>
      </w:r>
      <w:r w:rsidRPr="00163D0E">
        <w:rPr>
          <w:rFonts w:ascii="Times New Roman" w:hAnsi="Times New Roman" w:cs="Times New Roman"/>
        </w:rPr>
        <w:lastRenderedPageBreak/>
        <w:t>opportunities and constraints. The Order Land (</w:t>
      </w:r>
      <w:r w:rsidRPr="00163D0E" w:rsidR="00B44505">
        <w:rPr>
          <w:rFonts w:ascii="Times New Roman" w:hAnsi="Times New Roman" w:cs="Times New Roman"/>
        </w:rPr>
        <w:t xml:space="preserve">Site </w:t>
      </w:r>
      <w:r w:rsidRPr="00163D0E">
        <w:rPr>
          <w:rFonts w:ascii="Times New Roman" w:hAnsi="Times New Roman" w:cs="Times New Roman"/>
        </w:rPr>
        <w:t>A) and Site K scored most highly</w:t>
      </w:r>
      <w:r w:rsidRPr="00163D0E">
        <w:rPr>
          <w:rStyle w:val="FootnoteReference"/>
          <w:rFonts w:ascii="Times New Roman" w:hAnsi="Times New Roman" w:cs="Times New Roman"/>
        </w:rPr>
        <w:footnoteReference w:id="64"/>
      </w:r>
      <w:r w:rsidRPr="00163D0E">
        <w:rPr>
          <w:rFonts w:ascii="Times New Roman" w:hAnsi="Times New Roman" w:cs="Times New Roman"/>
        </w:rPr>
        <w:t xml:space="preserve">. However, </w:t>
      </w:r>
      <w:r w:rsidRPr="00163D0E" w:rsidR="00B44505">
        <w:rPr>
          <w:rFonts w:ascii="Times New Roman" w:hAnsi="Times New Roman" w:cs="Times New Roman"/>
        </w:rPr>
        <w:t xml:space="preserve">Site </w:t>
      </w:r>
      <w:r w:rsidRPr="00163D0E">
        <w:rPr>
          <w:rFonts w:ascii="Times New Roman" w:hAnsi="Times New Roman" w:cs="Times New Roman"/>
        </w:rPr>
        <w:t xml:space="preserve">K was excluded </w:t>
      </w:r>
      <w:proofErr w:type="gramStart"/>
      <w:r w:rsidRPr="00163D0E">
        <w:rPr>
          <w:rFonts w:ascii="Times New Roman" w:hAnsi="Times New Roman" w:cs="Times New Roman"/>
        </w:rPr>
        <w:t>as a result of</w:t>
      </w:r>
      <w:proofErr w:type="gramEnd"/>
      <w:r w:rsidRPr="00163D0E">
        <w:rPr>
          <w:rFonts w:ascii="Times New Roman" w:hAnsi="Times New Roman" w:cs="Times New Roman"/>
        </w:rPr>
        <w:t xml:space="preserve"> its high infrastructure, utility and cost</w:t>
      </w:r>
      <w:r w:rsidRPr="00163D0E" w:rsidR="00237245">
        <w:rPr>
          <w:rFonts w:ascii="Times New Roman" w:hAnsi="Times New Roman" w:cs="Times New Roman"/>
        </w:rPr>
        <w:t xml:space="preserve"> </w:t>
      </w:r>
      <w:r w:rsidRPr="00163D0E">
        <w:rPr>
          <w:rFonts w:ascii="Times New Roman" w:hAnsi="Times New Roman" w:cs="Times New Roman"/>
        </w:rPr>
        <w:t>constraints</w:t>
      </w:r>
      <w:r w:rsidRPr="00163D0E">
        <w:rPr>
          <w:rStyle w:val="FootnoteReference"/>
          <w:rFonts w:ascii="Times New Roman" w:hAnsi="Times New Roman" w:cs="Times New Roman"/>
        </w:rPr>
        <w:footnoteReference w:id="65"/>
      </w:r>
      <w:r w:rsidRPr="00163D0E">
        <w:rPr>
          <w:rFonts w:ascii="Times New Roman" w:hAnsi="Times New Roman" w:cs="Times New Roman"/>
        </w:rPr>
        <w:t xml:space="preserve">. Option A </w:t>
      </w:r>
      <w:r w:rsidRPr="00163D0E" w:rsidR="002C5712">
        <w:rPr>
          <w:rFonts w:ascii="Times New Roman" w:hAnsi="Times New Roman" w:cs="Times New Roman"/>
        </w:rPr>
        <w:t xml:space="preserve">(the Order Land) has therefore been </w:t>
      </w:r>
      <w:r w:rsidRPr="00163D0E" w:rsidR="00B44505">
        <w:rPr>
          <w:rFonts w:ascii="Times New Roman" w:hAnsi="Times New Roman" w:cs="Times New Roman"/>
        </w:rPr>
        <w:t>determined</w:t>
      </w:r>
      <w:r w:rsidRPr="00163D0E" w:rsidR="002C5712">
        <w:rPr>
          <w:rFonts w:ascii="Times New Roman" w:hAnsi="Times New Roman" w:cs="Times New Roman"/>
        </w:rPr>
        <w:t xml:space="preserve">, following a rigorous assessment, as the optimum site for the proposal. </w:t>
      </w:r>
    </w:p>
    <w:p w:rsidRPr="00163D0E" w:rsidR="002C5712" w:rsidP="002C5712" w:rsidRDefault="002C5712" w14:paraId="655C365F" w14:textId="77777777">
      <w:pPr>
        <w:pStyle w:val="ListParagraph"/>
        <w:spacing w:line="360" w:lineRule="auto"/>
        <w:ind w:left="1080"/>
        <w:rPr>
          <w:rFonts w:ascii="Times New Roman" w:hAnsi="Times New Roman" w:cs="Times New Roman"/>
        </w:rPr>
      </w:pPr>
    </w:p>
    <w:p w:rsidRPr="00163D0E" w:rsidR="002C5712" w:rsidP="002C5712" w:rsidRDefault="00554110" w14:paraId="619D2FA5" w14:textId="77B4D884">
      <w:pPr>
        <w:pStyle w:val="ListParagraph"/>
        <w:numPr>
          <w:ilvl w:val="0"/>
          <w:numId w:val="10"/>
        </w:numPr>
        <w:spacing w:line="360" w:lineRule="auto"/>
        <w:rPr>
          <w:rFonts w:ascii="Times New Roman" w:hAnsi="Times New Roman" w:cs="Times New Roman"/>
        </w:rPr>
      </w:pPr>
      <w:r w:rsidRPr="00163D0E">
        <w:rPr>
          <w:rFonts w:ascii="Times New Roman" w:hAnsi="Times New Roman" w:cs="Times New Roman"/>
        </w:rPr>
        <w:t>Site</w:t>
      </w:r>
      <w:r w:rsidRPr="00163D0E" w:rsidR="00664D67">
        <w:rPr>
          <w:rFonts w:ascii="Times New Roman" w:hAnsi="Times New Roman" w:cs="Times New Roman"/>
        </w:rPr>
        <w:t>s</w:t>
      </w:r>
      <w:r w:rsidRPr="00163D0E">
        <w:rPr>
          <w:rFonts w:ascii="Times New Roman" w:hAnsi="Times New Roman" w:cs="Times New Roman"/>
        </w:rPr>
        <w:t xml:space="preserve"> </w:t>
      </w:r>
      <w:r w:rsidRPr="00163D0E" w:rsidR="00B44505">
        <w:rPr>
          <w:rFonts w:ascii="Times New Roman" w:hAnsi="Times New Roman" w:cs="Times New Roman"/>
        </w:rPr>
        <w:t>B and C</w:t>
      </w:r>
      <w:r w:rsidRPr="00163D0E">
        <w:rPr>
          <w:rFonts w:ascii="Times New Roman" w:hAnsi="Times New Roman" w:cs="Times New Roman"/>
        </w:rPr>
        <w:t>: These are occupied by housing and commercial uses and a car park</w:t>
      </w:r>
      <w:r w:rsidRPr="00163D0E" w:rsidR="002C5712">
        <w:rPr>
          <w:rStyle w:val="FootnoteReference"/>
          <w:rFonts w:ascii="Times New Roman" w:hAnsi="Times New Roman" w:cs="Times New Roman"/>
        </w:rPr>
        <w:footnoteReference w:id="66"/>
      </w:r>
      <w:r w:rsidRPr="00163D0E">
        <w:rPr>
          <w:rFonts w:ascii="Times New Roman" w:hAnsi="Times New Roman" w:cs="Times New Roman"/>
        </w:rPr>
        <w:t>. They scored poorly, as compared to the Order Land, in the site selection process/scoring matrix. CPO would be required and there is no funding available for these sites.</w:t>
      </w:r>
    </w:p>
    <w:p w:rsidRPr="00163D0E" w:rsidR="002C5712" w:rsidP="002C5712" w:rsidRDefault="002C5712" w14:paraId="6639B9BC" w14:textId="77777777">
      <w:pPr>
        <w:pStyle w:val="ListParagraph"/>
        <w:rPr>
          <w:rFonts w:ascii="Times New Roman" w:hAnsi="Times New Roman" w:cs="Times New Roman"/>
        </w:rPr>
      </w:pPr>
    </w:p>
    <w:p w:rsidRPr="00163D0E" w:rsidR="002C5712" w:rsidP="002C5712" w:rsidRDefault="00554110" w14:paraId="5E509954" w14:textId="77777777">
      <w:pPr>
        <w:pStyle w:val="ListParagraph"/>
        <w:numPr>
          <w:ilvl w:val="0"/>
          <w:numId w:val="10"/>
        </w:numPr>
        <w:spacing w:line="360" w:lineRule="auto"/>
        <w:rPr>
          <w:rFonts w:ascii="Times New Roman" w:hAnsi="Times New Roman" w:cs="Times New Roman"/>
        </w:rPr>
      </w:pPr>
      <w:r w:rsidRPr="00163D0E">
        <w:rPr>
          <w:rFonts w:ascii="Times New Roman" w:hAnsi="Times New Roman" w:cs="Times New Roman"/>
        </w:rPr>
        <w:t>Site E: This has planning permission for office use (granted April 2024), terms are due to be signed imminently, and construction is due to commence next year</w:t>
      </w:r>
      <w:r w:rsidRPr="00163D0E" w:rsidR="002C5712">
        <w:rPr>
          <w:rStyle w:val="FootnoteReference"/>
          <w:rFonts w:ascii="Times New Roman" w:hAnsi="Times New Roman" w:cs="Times New Roman"/>
        </w:rPr>
        <w:footnoteReference w:id="67"/>
      </w:r>
      <w:r w:rsidRPr="00163D0E">
        <w:rPr>
          <w:rFonts w:ascii="Times New Roman" w:hAnsi="Times New Roman" w:cs="Times New Roman"/>
        </w:rPr>
        <w:t xml:space="preserve">. The site is </w:t>
      </w:r>
      <w:r w:rsidRPr="00163D0E" w:rsidR="002C5712">
        <w:rPr>
          <w:rFonts w:ascii="Times New Roman" w:hAnsi="Times New Roman" w:cs="Times New Roman"/>
        </w:rPr>
        <w:t xml:space="preserve">therefore </w:t>
      </w:r>
      <w:r w:rsidRPr="00163D0E">
        <w:rPr>
          <w:rFonts w:ascii="Times New Roman" w:hAnsi="Times New Roman" w:cs="Times New Roman"/>
        </w:rPr>
        <w:t>unavailable, and in any case scored poorly for the proposed use in the scoring matrix.</w:t>
      </w:r>
    </w:p>
    <w:p w:rsidRPr="00163D0E" w:rsidR="002C5712" w:rsidP="002C5712" w:rsidRDefault="002C5712" w14:paraId="551711A4" w14:textId="77777777">
      <w:pPr>
        <w:pStyle w:val="ListParagraph"/>
        <w:rPr>
          <w:rFonts w:ascii="Times New Roman" w:hAnsi="Times New Roman" w:cs="Times New Roman"/>
        </w:rPr>
      </w:pPr>
    </w:p>
    <w:p w:rsidRPr="00163D0E" w:rsidR="00554110" w:rsidP="002C5712" w:rsidRDefault="00554110" w14:paraId="1F5BB464" w14:textId="1ED01B43">
      <w:pPr>
        <w:pStyle w:val="ListParagraph"/>
        <w:numPr>
          <w:ilvl w:val="0"/>
          <w:numId w:val="10"/>
        </w:numPr>
        <w:spacing w:line="360" w:lineRule="auto"/>
        <w:rPr>
          <w:rFonts w:ascii="Times New Roman" w:hAnsi="Times New Roman" w:cs="Times New Roman"/>
        </w:rPr>
      </w:pPr>
      <w:r w:rsidRPr="00163D0E">
        <w:rPr>
          <w:rFonts w:ascii="Times New Roman" w:hAnsi="Times New Roman" w:cs="Times New Roman"/>
        </w:rPr>
        <w:t>Site F: Is occupied by a car park and commercial uses and is allocated as a multi – storey car park in the adopted local plan</w:t>
      </w:r>
      <w:r w:rsidRPr="00163D0E">
        <w:rPr>
          <w:rStyle w:val="FootnoteReference"/>
          <w:rFonts w:ascii="Times New Roman" w:hAnsi="Times New Roman" w:cs="Times New Roman"/>
        </w:rPr>
        <w:footnoteReference w:id="68"/>
      </w:r>
      <w:r w:rsidRPr="00163D0E">
        <w:rPr>
          <w:rFonts w:ascii="Times New Roman" w:hAnsi="Times New Roman" w:cs="Times New Roman"/>
        </w:rPr>
        <w:t>. A planning application is in the course of being prepared. The site is not, therefore, suitable (in terms of the adopted development plan) or available, and further the site scored relatively poorly compared to the Order land in the scoring matrix.</w:t>
      </w:r>
      <w:r w:rsidRPr="00163D0E" w:rsidR="002C5712">
        <w:rPr>
          <w:rFonts w:ascii="Times New Roman" w:hAnsi="Times New Roman" w:cs="Times New Roman"/>
        </w:rPr>
        <w:t xml:space="preserve"> There is no funding available for this site.</w:t>
      </w:r>
    </w:p>
    <w:p w:rsidRPr="00163D0E" w:rsidR="002C5712" w:rsidP="002C5712" w:rsidRDefault="002C5712" w14:paraId="027B0F24" w14:textId="77777777">
      <w:pPr>
        <w:pStyle w:val="ListParagraph"/>
        <w:rPr>
          <w:rFonts w:ascii="Times New Roman" w:hAnsi="Times New Roman" w:cs="Times New Roman"/>
        </w:rPr>
      </w:pPr>
    </w:p>
    <w:p w:rsidRPr="00163D0E" w:rsidR="002C5712" w:rsidP="002C5712" w:rsidRDefault="00554110" w14:paraId="7E414912" w14:textId="6FE333CA">
      <w:pPr>
        <w:pStyle w:val="ListParagraph"/>
        <w:numPr>
          <w:ilvl w:val="0"/>
          <w:numId w:val="10"/>
        </w:numPr>
        <w:spacing w:line="360" w:lineRule="auto"/>
        <w:rPr>
          <w:rFonts w:ascii="Times New Roman" w:hAnsi="Times New Roman" w:cs="Times New Roman"/>
        </w:rPr>
      </w:pPr>
      <w:r w:rsidRPr="00163D0E">
        <w:rPr>
          <w:rFonts w:ascii="Times New Roman" w:hAnsi="Times New Roman" w:cs="Times New Roman"/>
        </w:rPr>
        <w:t xml:space="preserve">Site G is occupied by </w:t>
      </w:r>
      <w:r w:rsidRPr="00163D0E" w:rsidR="004F6F6A">
        <w:rPr>
          <w:rFonts w:ascii="Times New Roman" w:hAnsi="Times New Roman" w:cs="Times New Roman"/>
        </w:rPr>
        <w:t xml:space="preserve">retail </w:t>
      </w:r>
      <w:r w:rsidRPr="00163D0E">
        <w:rPr>
          <w:rFonts w:ascii="Times New Roman" w:hAnsi="Times New Roman" w:cs="Times New Roman"/>
        </w:rPr>
        <w:t>and residential uses and limited car parking, and there is insufficient space to bring forward the scheme in its entirety</w:t>
      </w:r>
      <w:r w:rsidRPr="00163D0E">
        <w:rPr>
          <w:rStyle w:val="FootnoteReference"/>
          <w:rFonts w:ascii="Times New Roman" w:hAnsi="Times New Roman" w:cs="Times New Roman"/>
        </w:rPr>
        <w:footnoteReference w:id="69"/>
      </w:r>
      <w:r w:rsidRPr="00163D0E">
        <w:rPr>
          <w:rFonts w:ascii="Times New Roman" w:hAnsi="Times New Roman" w:cs="Times New Roman"/>
        </w:rPr>
        <w:t>. It scores relatively poorly</w:t>
      </w:r>
      <w:r w:rsidRPr="00163D0E" w:rsidR="004F6F6A">
        <w:rPr>
          <w:rFonts w:ascii="Times New Roman" w:hAnsi="Times New Roman" w:cs="Times New Roman"/>
        </w:rPr>
        <w:t xml:space="preserve"> compared</w:t>
      </w:r>
      <w:r w:rsidRPr="00163D0E">
        <w:rPr>
          <w:rFonts w:ascii="Times New Roman" w:hAnsi="Times New Roman" w:cs="Times New Roman"/>
        </w:rPr>
        <w:t xml:space="preserve"> to the Order land on the site scoring matrix. To accommodate the scheme in its entirety would require site K, which, as discussed above, is not feasible to bring forward due to significant infrastructure and service constraints, and the need to stop up King Street, and the significant cost involved. No funding is available to bring forward site G in isolation, or together </w:t>
      </w:r>
      <w:r w:rsidRPr="00163D0E" w:rsidR="002C5712">
        <w:rPr>
          <w:rFonts w:ascii="Times New Roman" w:hAnsi="Times New Roman" w:cs="Times New Roman"/>
        </w:rPr>
        <w:t>as</w:t>
      </w:r>
      <w:r w:rsidRPr="00163D0E">
        <w:rPr>
          <w:rFonts w:ascii="Times New Roman" w:hAnsi="Times New Roman" w:cs="Times New Roman"/>
        </w:rPr>
        <w:t xml:space="preserve"> site K.</w:t>
      </w:r>
    </w:p>
    <w:p w:rsidRPr="00163D0E" w:rsidR="002C5712" w:rsidP="002C5712" w:rsidRDefault="002C5712" w14:paraId="299D375E" w14:textId="77777777">
      <w:pPr>
        <w:pStyle w:val="ListParagraph"/>
        <w:rPr>
          <w:rFonts w:ascii="Times New Roman" w:hAnsi="Times New Roman" w:cs="Times New Roman"/>
        </w:rPr>
      </w:pPr>
    </w:p>
    <w:p w:rsidRPr="00163D0E" w:rsidR="002C5712" w:rsidP="002C5712" w:rsidRDefault="00554110" w14:paraId="7AD19CAD" w14:textId="46990D1A">
      <w:pPr>
        <w:pStyle w:val="ListParagraph"/>
        <w:numPr>
          <w:ilvl w:val="0"/>
          <w:numId w:val="10"/>
        </w:numPr>
        <w:spacing w:line="360" w:lineRule="auto"/>
        <w:rPr>
          <w:rFonts w:ascii="Times New Roman" w:hAnsi="Times New Roman" w:cs="Times New Roman"/>
        </w:rPr>
      </w:pPr>
      <w:r w:rsidRPr="00163D0E">
        <w:rPr>
          <w:rFonts w:ascii="Times New Roman" w:hAnsi="Times New Roman" w:cs="Times New Roman"/>
        </w:rPr>
        <w:t>Sites H, J, L score poorly on the site matrix. Site</w:t>
      </w:r>
      <w:r w:rsidRPr="00163D0E" w:rsidR="00664D67">
        <w:rPr>
          <w:rFonts w:ascii="Times New Roman" w:hAnsi="Times New Roman" w:cs="Times New Roman"/>
        </w:rPr>
        <w:t>s</w:t>
      </w:r>
      <w:r w:rsidRPr="00163D0E">
        <w:rPr>
          <w:rFonts w:ascii="Times New Roman" w:hAnsi="Times New Roman" w:cs="Times New Roman"/>
        </w:rPr>
        <w:t xml:space="preserve"> H and J are in any event too small. Site D was excluded as unaffordable and due to unacceptable commercial risks. </w:t>
      </w:r>
      <w:r w:rsidRPr="00163D0E" w:rsidR="002C5712">
        <w:rPr>
          <w:rFonts w:ascii="Times New Roman" w:hAnsi="Times New Roman" w:cs="Times New Roman"/>
        </w:rPr>
        <w:t>There is no funding available to bring forward any of these sites</w:t>
      </w:r>
      <w:r w:rsidR="00D93D8C">
        <w:rPr>
          <w:rStyle w:val="FootnoteReference"/>
          <w:rFonts w:ascii="Times New Roman" w:hAnsi="Times New Roman" w:cs="Times New Roman"/>
        </w:rPr>
        <w:footnoteReference w:id="70"/>
      </w:r>
      <w:r w:rsidRPr="00163D0E" w:rsidR="002C5712">
        <w:rPr>
          <w:rFonts w:ascii="Times New Roman" w:hAnsi="Times New Roman" w:cs="Times New Roman"/>
        </w:rPr>
        <w:t>.</w:t>
      </w:r>
    </w:p>
    <w:p w:rsidRPr="00163D0E" w:rsidR="002C5712" w:rsidP="002C5712" w:rsidRDefault="002C5712" w14:paraId="733CF007" w14:textId="77777777">
      <w:pPr>
        <w:pStyle w:val="ListParagraph"/>
        <w:rPr>
          <w:rFonts w:ascii="Times New Roman" w:hAnsi="Times New Roman" w:cs="Times New Roman"/>
        </w:rPr>
      </w:pPr>
    </w:p>
    <w:p w:rsidRPr="00163D0E" w:rsidR="00147617" w:rsidP="002C5712" w:rsidRDefault="002C5712" w14:paraId="5DA146B0" w14:textId="60B55491">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Further, t</w:t>
      </w:r>
      <w:r w:rsidRPr="00163D0E" w:rsidR="00147617">
        <w:rPr>
          <w:rFonts w:ascii="Times New Roman" w:hAnsi="Times New Roman" w:cs="Times New Roman"/>
        </w:rPr>
        <w:t>he business cases in support</w:t>
      </w:r>
      <w:r w:rsidRPr="00163D0E" w:rsidR="00FB2DB1">
        <w:rPr>
          <w:rFonts w:ascii="Times New Roman" w:hAnsi="Times New Roman" w:cs="Times New Roman"/>
        </w:rPr>
        <w:t xml:space="preserve"> of</w:t>
      </w:r>
      <w:r w:rsidRPr="00163D0E" w:rsidR="00147617">
        <w:rPr>
          <w:rFonts w:ascii="Times New Roman" w:hAnsi="Times New Roman" w:cs="Times New Roman"/>
        </w:rPr>
        <w:t xml:space="preserve"> applications for government funding were submitted on the basis that </w:t>
      </w:r>
      <w:r w:rsidRPr="00163D0E" w:rsidR="007615C7">
        <w:rPr>
          <w:rFonts w:ascii="Times New Roman" w:hAnsi="Times New Roman" w:cs="Times New Roman"/>
        </w:rPr>
        <w:t xml:space="preserve">the Order land </w:t>
      </w:r>
      <w:r w:rsidRPr="00163D0E" w:rsidR="00147617">
        <w:rPr>
          <w:rFonts w:ascii="Times New Roman" w:hAnsi="Times New Roman" w:cs="Times New Roman"/>
        </w:rPr>
        <w:t>should deliver this scheme, and £9m Town Deal funding and £40m LUF funding was awarded on that basis, following rigorous assessment</w:t>
      </w:r>
      <w:r w:rsidRPr="00163D0E">
        <w:rPr>
          <w:rFonts w:ascii="Times New Roman" w:hAnsi="Times New Roman" w:cs="Times New Roman"/>
        </w:rPr>
        <w:t xml:space="preserve"> by Government</w:t>
      </w:r>
      <w:r w:rsidRPr="00163D0E" w:rsidR="00147617">
        <w:rPr>
          <w:rFonts w:ascii="Times New Roman" w:hAnsi="Times New Roman" w:cs="Times New Roman"/>
        </w:rPr>
        <w:t>. Indeed, the fact that the scheme has been able to secure such significant funding for the redevelopment of the site in this way provides acknowledgment from the Government as to the extent of the benefits the scheme is expected to deliver</w:t>
      </w:r>
      <w:r w:rsidRPr="00163D0E">
        <w:rPr>
          <w:rFonts w:ascii="Times New Roman" w:hAnsi="Times New Roman" w:cs="Times New Roman"/>
        </w:rPr>
        <w:t xml:space="preserve">, and </w:t>
      </w:r>
      <w:r w:rsidRPr="00163D0E" w:rsidR="004F6F6A">
        <w:rPr>
          <w:rFonts w:ascii="Times New Roman" w:hAnsi="Times New Roman" w:cs="Times New Roman"/>
        </w:rPr>
        <w:t xml:space="preserve">further validation </w:t>
      </w:r>
      <w:r w:rsidRPr="00163D0E">
        <w:rPr>
          <w:rFonts w:ascii="Times New Roman" w:hAnsi="Times New Roman" w:cs="Times New Roman"/>
        </w:rPr>
        <w:t>as to the suitability of the site proposed</w:t>
      </w:r>
      <w:r w:rsidRPr="00163D0E" w:rsidR="00147617">
        <w:rPr>
          <w:rFonts w:ascii="Times New Roman" w:hAnsi="Times New Roman" w:cs="Times New Roman"/>
        </w:rPr>
        <w:t>.</w:t>
      </w:r>
    </w:p>
    <w:p w:rsidRPr="00163D0E" w:rsidR="00147617" w:rsidP="00036E1F" w:rsidRDefault="00147617" w14:paraId="19519D4A" w14:textId="77777777">
      <w:pPr>
        <w:pStyle w:val="ListParagraph"/>
        <w:spacing w:line="360" w:lineRule="auto"/>
        <w:rPr>
          <w:rFonts w:ascii="Times New Roman" w:hAnsi="Times New Roman" w:cs="Times New Roman"/>
        </w:rPr>
      </w:pPr>
    </w:p>
    <w:p w:rsidRPr="00163D0E" w:rsidR="0007427B" w:rsidP="0007427B" w:rsidRDefault="00554110" w14:paraId="7FAFA1A2" w14:textId="1FFD3766">
      <w:pPr>
        <w:pStyle w:val="ListParagraph"/>
        <w:spacing w:line="360" w:lineRule="auto"/>
        <w:rPr>
          <w:rFonts w:ascii="Times New Roman" w:hAnsi="Times New Roman" w:cs="Times New Roman"/>
        </w:rPr>
      </w:pPr>
      <w:r w:rsidRPr="00163D0E">
        <w:rPr>
          <w:rFonts w:ascii="Times New Roman" w:hAnsi="Times New Roman" w:cs="Times New Roman"/>
        </w:rPr>
        <w:t xml:space="preserve"> In any event, the total £65m funding package available to bring the development forward is available for this site and no other, and this is the only site with planning permission for the development proposed. There is no other scheme</w:t>
      </w:r>
      <w:r w:rsidRPr="00163D0E" w:rsidR="002C5712">
        <w:rPr>
          <w:rFonts w:ascii="Times New Roman" w:hAnsi="Times New Roman" w:cs="Times New Roman"/>
        </w:rPr>
        <w:t xml:space="preserve"> or alternative proposals</w:t>
      </w:r>
      <w:r w:rsidRPr="00163D0E">
        <w:rPr>
          <w:rFonts w:ascii="Times New Roman" w:hAnsi="Times New Roman" w:cs="Times New Roman"/>
        </w:rPr>
        <w:t xml:space="preserve"> on the table </w:t>
      </w:r>
      <w:r w:rsidRPr="00163D0E" w:rsidR="002C5712">
        <w:rPr>
          <w:rFonts w:ascii="Times New Roman" w:hAnsi="Times New Roman" w:cs="Times New Roman"/>
        </w:rPr>
        <w:t xml:space="preserve">promoted by anyone </w:t>
      </w:r>
      <w:r w:rsidRPr="00163D0E">
        <w:rPr>
          <w:rFonts w:ascii="Times New Roman" w:hAnsi="Times New Roman" w:cs="Times New Roman"/>
        </w:rPr>
        <w:t>that could deliver the significant social, economic and environmental benefits of this scheme. It is therefore the Council’s firm case that it is critical that this scheme is delivered on this site to realise those very significant benefits</w:t>
      </w:r>
      <w:r w:rsidRPr="00163D0E" w:rsidR="002C5712">
        <w:rPr>
          <w:rFonts w:ascii="Times New Roman" w:hAnsi="Times New Roman" w:cs="Times New Roman"/>
        </w:rPr>
        <w:t>, and the</w:t>
      </w:r>
      <w:r w:rsidRPr="00163D0E">
        <w:rPr>
          <w:rFonts w:ascii="Times New Roman" w:hAnsi="Times New Roman" w:cs="Times New Roman"/>
        </w:rPr>
        <w:t xml:space="preserve"> purpose for which the </w:t>
      </w:r>
      <w:r w:rsidRPr="00163D0E" w:rsidR="002C5712">
        <w:rPr>
          <w:rFonts w:ascii="Times New Roman" w:hAnsi="Times New Roman" w:cs="Times New Roman"/>
        </w:rPr>
        <w:t>Council</w:t>
      </w:r>
      <w:r w:rsidRPr="00163D0E">
        <w:rPr>
          <w:rFonts w:ascii="Times New Roman" w:hAnsi="Times New Roman" w:cs="Times New Roman"/>
        </w:rPr>
        <w:t xml:space="preserve"> is acquiring the land could not be achieved by other means</w:t>
      </w:r>
      <w:r w:rsidRPr="00163D0E">
        <w:rPr>
          <w:rStyle w:val="FootnoteReference"/>
          <w:rFonts w:ascii="Times New Roman" w:hAnsi="Times New Roman" w:cs="Times New Roman"/>
        </w:rPr>
        <w:footnoteReference w:id="71"/>
      </w:r>
      <w:r w:rsidRPr="00163D0E">
        <w:rPr>
          <w:rFonts w:ascii="Times New Roman" w:hAnsi="Times New Roman" w:cs="Times New Roman"/>
        </w:rPr>
        <w:t>.</w:t>
      </w:r>
    </w:p>
    <w:p w:rsidRPr="0007427B" w:rsidR="00554110" w:rsidP="0007427B" w:rsidRDefault="00554110" w14:paraId="6EAA4FE3" w14:textId="77777777">
      <w:pPr>
        <w:pStyle w:val="ListParagraph"/>
        <w:spacing w:line="360" w:lineRule="auto"/>
      </w:pPr>
    </w:p>
    <w:p w:rsidRPr="00163D0E" w:rsidR="00147617" w:rsidP="00036E1F" w:rsidRDefault="00147617" w14:paraId="2D255477" w14:textId="277A1A3D">
      <w:pPr>
        <w:pStyle w:val="ListParagraph"/>
        <w:numPr>
          <w:ilvl w:val="0"/>
          <w:numId w:val="9"/>
        </w:numPr>
        <w:spacing w:line="360" w:lineRule="auto"/>
        <w:rPr>
          <w:rFonts w:ascii="Times New Roman" w:hAnsi="Times New Roman" w:cs="Times New Roman"/>
          <w:i/>
          <w:iCs/>
          <w:u w:val="single"/>
        </w:rPr>
      </w:pPr>
      <w:r w:rsidRPr="00163D0E">
        <w:rPr>
          <w:rFonts w:ascii="Times New Roman" w:hAnsi="Times New Roman" w:cs="Times New Roman"/>
          <w:i/>
          <w:iCs/>
          <w:u w:val="single"/>
        </w:rPr>
        <w:t xml:space="preserve"> </w:t>
      </w:r>
      <w:r w:rsidRPr="00163D0E" w:rsidR="00554110">
        <w:rPr>
          <w:rFonts w:ascii="Times New Roman" w:hAnsi="Times New Roman" w:cs="Times New Roman"/>
          <w:i/>
          <w:iCs/>
          <w:u w:val="single"/>
        </w:rPr>
        <w:t>The financial viability of the scheme</w:t>
      </w:r>
      <w:r w:rsidRPr="00163D0E">
        <w:rPr>
          <w:rFonts w:ascii="Times New Roman" w:hAnsi="Times New Roman" w:cs="Times New Roman"/>
          <w:i/>
          <w:iCs/>
          <w:u w:val="single"/>
        </w:rPr>
        <w:t xml:space="preserve"> for which the land is being acquired</w:t>
      </w:r>
      <w:r w:rsidRPr="00163D0E" w:rsidR="002C5712">
        <w:rPr>
          <w:rFonts w:ascii="Times New Roman" w:hAnsi="Times New Roman" w:cs="Times New Roman"/>
          <w:i/>
          <w:iCs/>
          <w:u w:val="single"/>
        </w:rPr>
        <w:t>, and whether there is a “reasonable prospect” that the scheme will proceed</w:t>
      </w:r>
      <w:r w:rsidRPr="00163D0E">
        <w:rPr>
          <w:rStyle w:val="FootnoteReference"/>
          <w:rFonts w:ascii="Times New Roman" w:hAnsi="Times New Roman" w:cs="Times New Roman"/>
          <w:i/>
          <w:iCs/>
          <w:u w:val="single"/>
        </w:rPr>
        <w:footnoteReference w:id="72"/>
      </w:r>
    </w:p>
    <w:p w:rsidRPr="00163D0E" w:rsidR="002C5712" w:rsidP="002C5712" w:rsidRDefault="002C5712" w14:paraId="40F7213C" w14:textId="77777777">
      <w:pPr>
        <w:pStyle w:val="ListParagraph"/>
        <w:spacing w:line="360" w:lineRule="auto"/>
        <w:ind w:left="1080"/>
        <w:rPr>
          <w:rFonts w:ascii="Times New Roman" w:hAnsi="Times New Roman" w:cs="Times New Roman"/>
          <w:i/>
          <w:iCs/>
          <w:u w:val="single"/>
        </w:rPr>
      </w:pPr>
    </w:p>
    <w:p w:rsidRPr="00163D0E" w:rsidR="00147617" w:rsidP="002C5712" w:rsidRDefault="00147617" w14:paraId="2BDBB035" w14:textId="7914C905">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There can be confidence that this important scheme will be delivered upon acquisition of the Order land</w:t>
      </w:r>
      <w:r w:rsidRPr="00163D0E" w:rsidR="002C5712">
        <w:rPr>
          <w:rFonts w:ascii="Times New Roman" w:hAnsi="Times New Roman" w:cs="Times New Roman"/>
        </w:rPr>
        <w:t>.</w:t>
      </w:r>
    </w:p>
    <w:p w:rsidRPr="00163D0E" w:rsidR="00147617" w:rsidP="00036E1F" w:rsidRDefault="00147617" w14:paraId="482BF52A" w14:textId="77777777">
      <w:pPr>
        <w:pStyle w:val="ListParagraph"/>
        <w:spacing w:line="360" w:lineRule="auto"/>
        <w:rPr>
          <w:rFonts w:ascii="Times New Roman" w:hAnsi="Times New Roman" w:cs="Times New Roman"/>
        </w:rPr>
      </w:pPr>
    </w:p>
    <w:p w:rsidRPr="00163D0E" w:rsidR="00147617" w:rsidP="002C5712" w:rsidRDefault="002C5712" w14:paraId="634D2F82" w14:textId="1B8BCF5C">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In </w:t>
      </w:r>
      <w:r w:rsidRPr="00163D0E" w:rsidR="00147617">
        <w:rPr>
          <w:rFonts w:ascii="Times New Roman" w:hAnsi="Times New Roman" w:cs="Times New Roman"/>
        </w:rPr>
        <w:t>respect of Phase 1:</w:t>
      </w:r>
    </w:p>
    <w:p w:rsidRPr="00163D0E" w:rsidR="00147617" w:rsidP="00036E1F" w:rsidRDefault="00147617" w14:paraId="1CCF99D5" w14:textId="77777777">
      <w:pPr>
        <w:pStyle w:val="ListParagraph"/>
        <w:spacing w:line="360" w:lineRule="auto"/>
        <w:rPr>
          <w:rFonts w:ascii="Times New Roman" w:hAnsi="Times New Roman" w:cs="Times New Roman"/>
        </w:rPr>
      </w:pPr>
    </w:p>
    <w:p w:rsidRPr="00163D0E" w:rsidR="00147617" w:rsidP="00036E1F" w:rsidRDefault="00147617" w14:paraId="56596A67" w14:textId="77777777">
      <w:pPr>
        <w:pStyle w:val="ListParagraph"/>
        <w:numPr>
          <w:ilvl w:val="0"/>
          <w:numId w:val="7"/>
        </w:numPr>
        <w:spacing w:line="360" w:lineRule="auto"/>
        <w:rPr>
          <w:rFonts w:ascii="Times New Roman" w:hAnsi="Times New Roman" w:cs="Times New Roman"/>
        </w:rPr>
      </w:pPr>
      <w:r w:rsidRPr="00163D0E">
        <w:rPr>
          <w:rFonts w:ascii="Times New Roman" w:hAnsi="Times New Roman" w:cs="Times New Roman"/>
        </w:rPr>
        <w:lastRenderedPageBreak/>
        <w:t>As set out above, Town Deal funding of some £9m has been secured, and is available now, for site assembly and clearance of the entirety of the Order land. There is further, evidenced commitment from the Council to fund any overspend.</w:t>
      </w:r>
    </w:p>
    <w:p w:rsidRPr="00163D0E" w:rsidR="00147617" w:rsidP="00036E1F" w:rsidRDefault="00147617" w14:paraId="0D13CFDE" w14:textId="77777777">
      <w:pPr>
        <w:pStyle w:val="ListParagraph"/>
        <w:spacing w:line="360" w:lineRule="auto"/>
        <w:ind w:left="1800"/>
        <w:rPr>
          <w:rFonts w:ascii="Times New Roman" w:hAnsi="Times New Roman" w:cs="Times New Roman"/>
        </w:rPr>
      </w:pPr>
    </w:p>
    <w:p w:rsidRPr="00163D0E" w:rsidR="00147617" w:rsidP="00036E1F" w:rsidRDefault="00147617" w14:paraId="73ABC765" w14:textId="124D6EA7">
      <w:pPr>
        <w:pStyle w:val="ListParagraph"/>
        <w:numPr>
          <w:ilvl w:val="0"/>
          <w:numId w:val="7"/>
        </w:numPr>
        <w:spacing w:line="360" w:lineRule="auto"/>
        <w:rPr>
          <w:rFonts w:ascii="Times New Roman" w:hAnsi="Times New Roman" w:cs="Times New Roman"/>
        </w:rPr>
      </w:pPr>
      <w:r w:rsidRPr="00163D0E">
        <w:rPr>
          <w:rFonts w:ascii="Times New Roman" w:hAnsi="Times New Roman" w:cs="Times New Roman"/>
        </w:rPr>
        <w:t>Levelling Up Funding (“LUF funding”) of some £40m has been secured and is available now</w:t>
      </w:r>
      <w:r w:rsidRPr="00163D0E" w:rsidR="002C5712">
        <w:rPr>
          <w:rFonts w:ascii="Times New Roman" w:hAnsi="Times New Roman" w:cs="Times New Roman"/>
        </w:rPr>
        <w:t xml:space="preserve"> to deliver Phase 1</w:t>
      </w:r>
      <w:r w:rsidRPr="00163D0E">
        <w:rPr>
          <w:rFonts w:ascii="Times New Roman" w:hAnsi="Times New Roman" w:cs="Times New Roman"/>
        </w:rPr>
        <w:t xml:space="preserve">. Additional prudential borrowing by the Council of £16m is also committed, to be repaid by the College through a premium and lease payments and is available now. </w:t>
      </w:r>
    </w:p>
    <w:p w:rsidRPr="00163D0E" w:rsidR="00147617" w:rsidP="00036E1F" w:rsidRDefault="00147617" w14:paraId="4E306C76" w14:textId="77777777">
      <w:pPr>
        <w:pStyle w:val="ListParagraph"/>
        <w:spacing w:line="360" w:lineRule="auto"/>
        <w:rPr>
          <w:rFonts w:ascii="Times New Roman" w:hAnsi="Times New Roman" w:cs="Times New Roman"/>
        </w:rPr>
      </w:pPr>
    </w:p>
    <w:p w:rsidR="002C5712" w:rsidP="00237245" w:rsidRDefault="00147617" w14:paraId="654BBD12" w14:textId="4FE18DDF">
      <w:pPr>
        <w:pStyle w:val="ListParagraph"/>
        <w:numPr>
          <w:ilvl w:val="0"/>
          <w:numId w:val="7"/>
        </w:numPr>
        <w:spacing w:line="360" w:lineRule="auto"/>
        <w:rPr>
          <w:rFonts w:ascii="Times New Roman" w:hAnsi="Times New Roman" w:cs="Times New Roman"/>
        </w:rPr>
      </w:pPr>
      <w:r w:rsidRPr="00163D0E">
        <w:rPr>
          <w:rFonts w:ascii="Times New Roman" w:hAnsi="Times New Roman" w:cs="Times New Roman"/>
        </w:rPr>
        <w:t xml:space="preserve">The funding of these schemes has required robust business cases to be submitted, which have been </w:t>
      </w:r>
      <w:r w:rsidRPr="00163D0E" w:rsidR="002C5712">
        <w:rPr>
          <w:rFonts w:ascii="Times New Roman" w:hAnsi="Times New Roman" w:cs="Times New Roman"/>
        </w:rPr>
        <w:t xml:space="preserve">scrutinised and </w:t>
      </w:r>
      <w:r w:rsidRPr="00163D0E">
        <w:rPr>
          <w:rFonts w:ascii="Times New Roman" w:hAnsi="Times New Roman" w:cs="Times New Roman"/>
        </w:rPr>
        <w:t xml:space="preserve">accepted by </w:t>
      </w:r>
      <w:r w:rsidRPr="00163D0E" w:rsidR="002C5712">
        <w:rPr>
          <w:rFonts w:ascii="Times New Roman" w:hAnsi="Times New Roman" w:cs="Times New Roman"/>
        </w:rPr>
        <w:t>G</w:t>
      </w:r>
      <w:r w:rsidRPr="00163D0E">
        <w:rPr>
          <w:rFonts w:ascii="Times New Roman" w:hAnsi="Times New Roman" w:cs="Times New Roman"/>
        </w:rPr>
        <w:t>overnment.</w:t>
      </w:r>
    </w:p>
    <w:p w:rsidRPr="00CE0492" w:rsidR="00CE0492" w:rsidP="00CE0492" w:rsidRDefault="00CE0492" w14:paraId="2402C6BF" w14:textId="77777777">
      <w:pPr>
        <w:pStyle w:val="ListParagraph"/>
        <w:rPr>
          <w:rFonts w:ascii="Times New Roman" w:hAnsi="Times New Roman" w:cs="Times New Roman"/>
        </w:rPr>
      </w:pPr>
    </w:p>
    <w:p w:rsidRPr="00163D0E" w:rsidR="00CE0492" w:rsidP="00CE0492" w:rsidRDefault="00CE0492" w14:paraId="3D709B4E" w14:textId="77777777">
      <w:pPr>
        <w:pStyle w:val="ListParagraph"/>
        <w:spacing w:line="360" w:lineRule="auto"/>
        <w:ind w:left="1800"/>
        <w:rPr>
          <w:rFonts w:ascii="Times New Roman" w:hAnsi="Times New Roman" w:cs="Times New Roman"/>
        </w:rPr>
      </w:pPr>
    </w:p>
    <w:p w:rsidRPr="00163D0E" w:rsidR="002C5712" w:rsidP="002C5712" w:rsidRDefault="002C5712" w14:paraId="40BE72ED" w14:textId="418A9F6E">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Delivery of Phase 1 is therefore fully funded. If the CPO is confirmed, this Phase will be brought forward immediately, with practical completion programmed for May/June 2027 in time for the opening of the Multiversity facility in that academic year (September 2027). </w:t>
      </w:r>
    </w:p>
    <w:p w:rsidRPr="00163D0E" w:rsidR="00147617" w:rsidP="00036E1F" w:rsidRDefault="00147617" w14:paraId="6276752D" w14:textId="77777777">
      <w:pPr>
        <w:pStyle w:val="ListParagraph"/>
        <w:spacing w:line="360" w:lineRule="auto"/>
        <w:ind w:left="1800"/>
        <w:rPr>
          <w:rFonts w:ascii="Times New Roman" w:hAnsi="Times New Roman" w:cs="Times New Roman"/>
        </w:rPr>
      </w:pPr>
    </w:p>
    <w:p w:rsidRPr="00163D0E" w:rsidR="00147617" w:rsidP="002C5712" w:rsidRDefault="00147617" w14:paraId="69A366E8" w14:textId="7382640B">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Phase 1 of the scheme will provide the catalyst for the delivery of Phase 2.</w:t>
      </w:r>
    </w:p>
    <w:p w:rsidRPr="00163D0E" w:rsidR="00147617" w:rsidP="00036E1F" w:rsidRDefault="00147617" w14:paraId="2D987B1F" w14:textId="77777777">
      <w:pPr>
        <w:pStyle w:val="ListParagraph"/>
        <w:spacing w:line="360" w:lineRule="auto"/>
        <w:rPr>
          <w:rFonts w:ascii="Times New Roman" w:hAnsi="Times New Roman" w:cs="Times New Roman"/>
        </w:rPr>
      </w:pPr>
    </w:p>
    <w:p w:rsidRPr="00163D0E" w:rsidR="00147617" w:rsidP="002C5712" w:rsidRDefault="00147617" w14:paraId="3CAFC718" w14:textId="3F01828E">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There can be confidence that</w:t>
      </w:r>
      <w:r w:rsidRPr="00163D0E" w:rsidR="002C5712">
        <w:rPr>
          <w:rFonts w:ascii="Times New Roman" w:hAnsi="Times New Roman" w:cs="Times New Roman"/>
        </w:rPr>
        <w:t xml:space="preserve"> </w:t>
      </w:r>
      <w:r w:rsidRPr="00163D0E">
        <w:rPr>
          <w:rFonts w:ascii="Times New Roman" w:hAnsi="Times New Roman" w:cs="Times New Roman"/>
        </w:rPr>
        <w:t>Phase 2 will come forward.</w:t>
      </w:r>
    </w:p>
    <w:p w:rsidRPr="00163D0E" w:rsidR="00147617" w:rsidP="00036E1F" w:rsidRDefault="00147617" w14:paraId="01FB74B6" w14:textId="77777777">
      <w:pPr>
        <w:pStyle w:val="ListParagraph"/>
        <w:spacing w:line="360" w:lineRule="auto"/>
        <w:rPr>
          <w:rFonts w:ascii="Times New Roman" w:hAnsi="Times New Roman" w:cs="Times New Roman"/>
        </w:rPr>
      </w:pPr>
    </w:p>
    <w:p w:rsidRPr="00163D0E" w:rsidR="00147617" w:rsidP="002C5712" w:rsidRDefault="00147617" w14:paraId="53D1529B" w14:textId="5D94FC10">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Phase 2 has already received funding from the government for site acquisition and clearance (as part of the £9m Town Deal funding awarded – see above</w:t>
      </w:r>
      <w:r w:rsidRPr="00163D0E" w:rsidR="0007427B">
        <w:rPr>
          <w:rFonts w:ascii="Times New Roman" w:hAnsi="Times New Roman" w:cs="Times New Roman"/>
        </w:rPr>
        <w:t>) and</w:t>
      </w:r>
      <w:r w:rsidRPr="00163D0E">
        <w:rPr>
          <w:rFonts w:ascii="Times New Roman" w:hAnsi="Times New Roman" w:cs="Times New Roman"/>
        </w:rPr>
        <w:t xml:space="preserve"> is therefore partly funded. This required the submission and approval of a robust business case, which was approved by government. </w:t>
      </w:r>
    </w:p>
    <w:p w:rsidRPr="00163D0E" w:rsidR="00147617" w:rsidP="00036E1F" w:rsidRDefault="00147617" w14:paraId="205AE4AB" w14:textId="77777777">
      <w:pPr>
        <w:pStyle w:val="ListParagraph"/>
        <w:spacing w:line="360" w:lineRule="auto"/>
        <w:rPr>
          <w:rFonts w:ascii="Times New Roman" w:hAnsi="Times New Roman" w:cs="Times New Roman"/>
        </w:rPr>
      </w:pPr>
    </w:p>
    <w:p w:rsidRPr="0007427B" w:rsidR="0007427B" w:rsidP="0007427B" w:rsidRDefault="00147617" w14:paraId="45A51A48" w14:textId="0E720BCD">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For the reasons set out above, the evidence of the College demonstrates that Phase 2 is necessary for expansion of educational facilities, and the College is committed to the delivery of the same. Mr. Mulvey and Mr. Gerrard explained that, whilst funding is not yet in place to deliver Phase 2</w:t>
      </w:r>
      <w:r w:rsidRPr="00163D0E" w:rsidR="002C5712">
        <w:rPr>
          <w:rFonts w:ascii="Times New Roman" w:hAnsi="Times New Roman" w:cs="Times New Roman"/>
        </w:rPr>
        <w:t xml:space="preserve"> in its entirety</w:t>
      </w:r>
      <w:r w:rsidRPr="00163D0E">
        <w:rPr>
          <w:rFonts w:ascii="Times New Roman" w:hAnsi="Times New Roman" w:cs="Times New Roman"/>
        </w:rPr>
        <w:t>,</w:t>
      </w:r>
      <w:r w:rsidRPr="00163D0E" w:rsidR="002C5712">
        <w:rPr>
          <w:rFonts w:ascii="Times New Roman" w:hAnsi="Times New Roman" w:cs="Times New Roman"/>
        </w:rPr>
        <w:t xml:space="preserve"> the fact that funding </w:t>
      </w:r>
      <w:r w:rsidRPr="00163D0E" w:rsidR="002C5712">
        <w:rPr>
          <w:rFonts w:ascii="Times New Roman" w:hAnsi="Times New Roman" w:cs="Times New Roman"/>
          <w:u w:val="single"/>
        </w:rPr>
        <w:t>is</w:t>
      </w:r>
      <w:r w:rsidRPr="00163D0E" w:rsidR="002C5712">
        <w:rPr>
          <w:rFonts w:ascii="Times New Roman" w:hAnsi="Times New Roman" w:cs="Times New Roman"/>
        </w:rPr>
        <w:t xml:space="preserve"> available for site acquisition and clearance now is critical and underscores that there is a compelling case in the public interest for the acquisition now. This is because</w:t>
      </w:r>
      <w:r w:rsidRPr="00163D0E">
        <w:rPr>
          <w:rFonts w:ascii="Times New Roman" w:hAnsi="Times New Roman" w:cs="Times New Roman"/>
        </w:rPr>
        <w:t xml:space="preserve"> a </w:t>
      </w:r>
      <w:r w:rsidRPr="00163D0E">
        <w:rPr>
          <w:rFonts w:ascii="Times New Roman" w:hAnsi="Times New Roman" w:cs="Times New Roman"/>
        </w:rPr>
        <w:lastRenderedPageBreak/>
        <w:t>“shovel ready”, cleared, available site</w:t>
      </w:r>
      <w:r w:rsidRPr="00163D0E" w:rsidR="00664D67">
        <w:rPr>
          <w:rFonts w:ascii="Times New Roman" w:hAnsi="Times New Roman" w:cs="Times New Roman"/>
        </w:rPr>
        <w:t>, which has the benefit of planning permission,</w:t>
      </w:r>
      <w:r w:rsidRPr="00163D0E">
        <w:rPr>
          <w:rFonts w:ascii="Times New Roman" w:hAnsi="Times New Roman" w:cs="Times New Roman"/>
        </w:rPr>
        <w:t xml:space="preserve"> is </w:t>
      </w:r>
      <w:r w:rsidRPr="00163D0E">
        <w:rPr>
          <w:rFonts w:ascii="Times New Roman" w:hAnsi="Times New Roman" w:cs="Times New Roman"/>
          <w:u w:val="single"/>
        </w:rPr>
        <w:t>fundamental</w:t>
      </w:r>
      <w:r w:rsidRPr="00163D0E">
        <w:rPr>
          <w:rFonts w:ascii="Times New Roman" w:hAnsi="Times New Roman" w:cs="Times New Roman"/>
        </w:rPr>
        <w:t xml:space="preserve"> to the ability to make </w:t>
      </w:r>
      <w:r w:rsidRPr="00163D0E" w:rsidR="001F69DE">
        <w:rPr>
          <w:rFonts w:ascii="Times New Roman" w:hAnsi="Times New Roman" w:cs="Times New Roman"/>
        </w:rPr>
        <w:t xml:space="preserve">successful </w:t>
      </w:r>
      <w:r w:rsidRPr="00163D0E">
        <w:rPr>
          <w:rFonts w:ascii="Times New Roman" w:hAnsi="Times New Roman" w:cs="Times New Roman"/>
        </w:rPr>
        <w:t>future funding bid</w:t>
      </w:r>
      <w:r w:rsidRPr="00163D0E" w:rsidR="00237245">
        <w:rPr>
          <w:rFonts w:ascii="Times New Roman" w:hAnsi="Times New Roman" w:cs="Times New Roman"/>
        </w:rPr>
        <w:t>s</w:t>
      </w:r>
      <w:r w:rsidRPr="00163D0E" w:rsidR="007615C7">
        <w:rPr>
          <w:rFonts w:ascii="Times New Roman" w:hAnsi="Times New Roman" w:cs="Times New Roman"/>
        </w:rPr>
        <w:t xml:space="preserve">, </w:t>
      </w:r>
      <w:r w:rsidRPr="00163D0E" w:rsidR="002C5712">
        <w:rPr>
          <w:rFonts w:ascii="Times New Roman" w:hAnsi="Times New Roman" w:cs="Times New Roman"/>
        </w:rPr>
        <w:t>to enable delivery of the second part of the scheme</w:t>
      </w:r>
      <w:r w:rsidRPr="00163D0E" w:rsidR="007615C7">
        <w:rPr>
          <w:rFonts w:ascii="Times New Roman" w:hAnsi="Times New Roman" w:cs="Times New Roman"/>
        </w:rPr>
        <w:t xml:space="preserve"> and full realisation of the masterplan</w:t>
      </w:r>
      <w:r w:rsidR="0007427B">
        <w:rPr>
          <w:rFonts w:ascii="Times New Roman" w:hAnsi="Times New Roman" w:cs="Times New Roman"/>
        </w:rPr>
        <w:t>.</w:t>
      </w:r>
    </w:p>
    <w:p w:rsidRPr="0007427B" w:rsidR="002C5712" w:rsidP="0007427B" w:rsidRDefault="002C5712" w14:paraId="6B8AC49C" w14:textId="77777777">
      <w:pPr>
        <w:pStyle w:val="ListParagraph"/>
      </w:pPr>
    </w:p>
    <w:p w:rsidRPr="00163D0E" w:rsidR="00147617" w:rsidP="002C5712" w:rsidRDefault="00147617" w14:paraId="38E9D235" w14:textId="66FA1CB1">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It is </w:t>
      </w:r>
      <w:r w:rsidRPr="00163D0E" w:rsidR="002C5712">
        <w:rPr>
          <w:rFonts w:ascii="Times New Roman" w:hAnsi="Times New Roman" w:cs="Times New Roman"/>
        </w:rPr>
        <w:t xml:space="preserve">therefore </w:t>
      </w:r>
      <w:r w:rsidRPr="00163D0E">
        <w:rPr>
          <w:rFonts w:ascii="Times New Roman" w:hAnsi="Times New Roman" w:cs="Times New Roman"/>
        </w:rPr>
        <w:t xml:space="preserve">necessary to assemble and clear the land to remove an impediment to </w:t>
      </w:r>
      <w:r w:rsidRPr="00163D0E" w:rsidR="00B6374C">
        <w:rPr>
          <w:rFonts w:ascii="Times New Roman" w:hAnsi="Times New Roman" w:cs="Times New Roman"/>
        </w:rPr>
        <w:t xml:space="preserve">the </w:t>
      </w:r>
      <w:r w:rsidRPr="00163D0E">
        <w:rPr>
          <w:rFonts w:ascii="Times New Roman" w:hAnsi="Times New Roman" w:cs="Times New Roman"/>
        </w:rPr>
        <w:t>delivery of the wider scheme, and to maximise the opportunity that exists to attract investment. This is precisely the scenario envisaged in the CPO Guidance</w:t>
      </w:r>
      <w:r w:rsidRPr="00163D0E">
        <w:rPr>
          <w:rStyle w:val="FootnoteReference"/>
          <w:rFonts w:ascii="Times New Roman" w:hAnsi="Times New Roman" w:cs="Times New Roman"/>
        </w:rPr>
        <w:footnoteReference w:id="73"/>
      </w:r>
      <w:r w:rsidRPr="00163D0E">
        <w:rPr>
          <w:rFonts w:ascii="Times New Roman" w:hAnsi="Times New Roman" w:cs="Times New Roman"/>
        </w:rPr>
        <w:t>.</w:t>
      </w:r>
    </w:p>
    <w:p w:rsidRPr="00163D0E" w:rsidR="00147617" w:rsidP="00036E1F" w:rsidRDefault="00147617" w14:paraId="7D321E15" w14:textId="77777777">
      <w:pPr>
        <w:pStyle w:val="ListParagraph"/>
        <w:spacing w:line="360" w:lineRule="auto"/>
        <w:rPr>
          <w:rFonts w:ascii="Times New Roman" w:hAnsi="Times New Roman" w:cs="Times New Roman"/>
        </w:rPr>
      </w:pPr>
    </w:p>
    <w:p w:rsidRPr="00163D0E" w:rsidR="00147617" w:rsidP="002C5712" w:rsidRDefault="002C5712" w14:paraId="15C81C12" w14:textId="7CA57D3D">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Nevertheless, there is a contingency option for office development for this part of the site in the unlikely event that the educational use does not come forward for Phase 2. Bringing forward a development scheme for this use would also deliver significant benefits to the area in terms of the placemaking and associated social and environmental benefits referred to above, significant economic benefits (see above), and would also complement and fit in with the wider Talbot Gateway and strategic policies of the CS (above). There are no obvious impediments to implementation </w:t>
      </w:r>
      <w:r w:rsidRPr="00163D0E" w:rsidR="007615C7">
        <w:rPr>
          <w:rFonts w:ascii="Times New Roman" w:hAnsi="Times New Roman" w:cs="Times New Roman"/>
        </w:rPr>
        <w:t xml:space="preserve">of </w:t>
      </w:r>
      <w:r w:rsidRPr="00163D0E">
        <w:rPr>
          <w:rFonts w:ascii="Times New Roman" w:hAnsi="Times New Roman" w:cs="Times New Roman"/>
        </w:rPr>
        <w:t xml:space="preserve">this scheme, as the Outline Planning Permission granted is flexible. </w:t>
      </w:r>
      <w:r w:rsidRPr="00163D0E" w:rsidR="00147617">
        <w:rPr>
          <w:rFonts w:ascii="Times New Roman" w:hAnsi="Times New Roman" w:cs="Times New Roman"/>
        </w:rPr>
        <w:t xml:space="preserve">For Phase 2, it permits up to 12,690 sqm of education floorspace </w:t>
      </w:r>
      <w:r w:rsidRPr="00163D0E" w:rsidR="00147617">
        <w:rPr>
          <w:rFonts w:ascii="Times New Roman" w:hAnsi="Times New Roman" w:cs="Times New Roman"/>
          <w:u w:val="single"/>
        </w:rPr>
        <w:t>and/or</w:t>
      </w:r>
      <w:r w:rsidRPr="00163D0E" w:rsidR="00147617">
        <w:rPr>
          <w:rFonts w:ascii="Times New Roman" w:hAnsi="Times New Roman" w:cs="Times New Roman"/>
        </w:rPr>
        <w:t xml:space="preserve"> office floorspace. This ensures that the scheme can respond if circumstances change, and that regeneration to deliver significant economic, social and environmental benefits can still be </w:t>
      </w:r>
      <w:r w:rsidRPr="00163D0E" w:rsidR="007615C7">
        <w:rPr>
          <w:rFonts w:ascii="Times New Roman" w:hAnsi="Times New Roman" w:cs="Times New Roman"/>
        </w:rPr>
        <w:t>realised</w:t>
      </w:r>
      <w:r w:rsidRPr="00163D0E" w:rsidR="00147617">
        <w:rPr>
          <w:rStyle w:val="FootnoteReference"/>
          <w:rFonts w:ascii="Times New Roman" w:hAnsi="Times New Roman" w:cs="Times New Roman"/>
        </w:rPr>
        <w:footnoteReference w:id="74"/>
      </w:r>
      <w:r w:rsidRPr="00163D0E" w:rsidR="00147617">
        <w:rPr>
          <w:rFonts w:ascii="Times New Roman" w:hAnsi="Times New Roman" w:cs="Times New Roman"/>
        </w:rPr>
        <w:t>.</w:t>
      </w:r>
    </w:p>
    <w:p w:rsidRPr="00163D0E" w:rsidR="00147617" w:rsidP="00036E1F" w:rsidRDefault="00147617" w14:paraId="38E993AA" w14:textId="77777777">
      <w:pPr>
        <w:pStyle w:val="ListParagraph"/>
        <w:spacing w:line="360" w:lineRule="auto"/>
        <w:rPr>
          <w:rFonts w:ascii="Times New Roman" w:hAnsi="Times New Roman" w:cs="Times New Roman"/>
        </w:rPr>
      </w:pPr>
    </w:p>
    <w:p w:rsidRPr="00163D0E" w:rsidR="00147617" w:rsidP="002C5712" w:rsidRDefault="00147617" w14:paraId="1F020945" w14:textId="4C470AFB">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Mr. Gerrard’s evidence demonstrates that, in the unlikely event that further educational facilities are not brought forward as part of Phase 2, an office-based scheme would be viable and deliverable </w:t>
      </w:r>
      <w:r w:rsidRPr="00163D0E">
        <w:rPr>
          <w:rFonts w:ascii="Times New Roman" w:hAnsi="Times New Roman" w:cs="Times New Roman"/>
          <w:u w:val="single"/>
        </w:rPr>
        <w:t>providing</w:t>
      </w:r>
      <w:r w:rsidRPr="00163D0E">
        <w:rPr>
          <w:rFonts w:ascii="Times New Roman" w:hAnsi="Times New Roman" w:cs="Times New Roman"/>
        </w:rPr>
        <w:t xml:space="preserve"> that the site acquisition and clearance process was forward funded. Indeed, when the application for Town Deal funding was made, the business case submitted considered the viability</w:t>
      </w:r>
      <w:r w:rsidRPr="00163D0E" w:rsidR="00B6374C">
        <w:rPr>
          <w:rFonts w:ascii="Times New Roman" w:hAnsi="Times New Roman" w:cs="Times New Roman"/>
        </w:rPr>
        <w:t xml:space="preserve"> of</w:t>
      </w:r>
      <w:r w:rsidRPr="00163D0E">
        <w:rPr>
          <w:rFonts w:ascii="Times New Roman" w:hAnsi="Times New Roman" w:cs="Times New Roman"/>
        </w:rPr>
        <w:t xml:space="preserve"> commercial development, and the market demand for the same, as a contingency for the entire site</w:t>
      </w:r>
      <w:r w:rsidRPr="00163D0E">
        <w:rPr>
          <w:rStyle w:val="FootnoteReference"/>
          <w:rFonts w:ascii="Times New Roman" w:hAnsi="Times New Roman" w:cs="Times New Roman"/>
        </w:rPr>
        <w:footnoteReference w:id="75"/>
      </w:r>
      <w:r w:rsidRPr="00163D0E">
        <w:rPr>
          <w:rFonts w:ascii="Times New Roman" w:hAnsi="Times New Roman" w:cs="Times New Roman"/>
        </w:rPr>
        <w:t xml:space="preserve">. This was based on an appraisal by </w:t>
      </w:r>
      <w:proofErr w:type="gramStart"/>
      <w:r w:rsidRPr="00163D0E">
        <w:rPr>
          <w:rFonts w:ascii="Times New Roman" w:hAnsi="Times New Roman" w:cs="Times New Roman"/>
        </w:rPr>
        <w:t>CBRE</w:t>
      </w:r>
      <w:r w:rsidRPr="00163D0E" w:rsidR="002C5712">
        <w:rPr>
          <w:rFonts w:ascii="Times New Roman" w:hAnsi="Times New Roman" w:cs="Times New Roman"/>
        </w:rPr>
        <w:t>, and</w:t>
      </w:r>
      <w:proofErr w:type="gramEnd"/>
      <w:r w:rsidRPr="00163D0E" w:rsidR="002C5712">
        <w:rPr>
          <w:rFonts w:ascii="Times New Roman" w:hAnsi="Times New Roman" w:cs="Times New Roman"/>
        </w:rPr>
        <w:t xml:space="preserve"> was accepted by Government in its award of Town Deal funding for the site</w:t>
      </w:r>
      <w:r w:rsidRPr="00163D0E">
        <w:rPr>
          <w:rFonts w:ascii="Times New Roman" w:hAnsi="Times New Roman" w:cs="Times New Roman"/>
        </w:rPr>
        <w:t xml:space="preserve">. As set out above, the funding for the entirety of Phase 1 is now secure. CBRE have therefore updated their analysis in respect of the viability and demand for an office based contingency option for Phase 2 alone. Their conclusion is that there would be demand for office development on </w:t>
      </w:r>
      <w:r w:rsidRPr="00163D0E" w:rsidR="002C5712">
        <w:rPr>
          <w:rFonts w:ascii="Times New Roman" w:hAnsi="Times New Roman" w:cs="Times New Roman"/>
        </w:rPr>
        <w:lastRenderedPageBreak/>
        <w:t xml:space="preserve">Phase 2 of </w:t>
      </w:r>
      <w:r w:rsidRPr="00163D0E">
        <w:rPr>
          <w:rFonts w:ascii="Times New Roman" w:hAnsi="Times New Roman" w:cs="Times New Roman"/>
        </w:rPr>
        <w:t xml:space="preserve">the Order Land, and that such development would be viable as a contingency option. </w:t>
      </w:r>
      <w:r w:rsidRPr="00163D0E">
        <w:rPr>
          <w:rFonts w:ascii="Times New Roman" w:hAnsi="Times New Roman" w:cs="Times New Roman"/>
          <w:u w:val="single"/>
        </w:rPr>
        <w:t>However</w:t>
      </w:r>
      <w:r w:rsidRPr="00163D0E">
        <w:rPr>
          <w:rFonts w:ascii="Times New Roman" w:hAnsi="Times New Roman" w:cs="Times New Roman"/>
        </w:rPr>
        <w:t xml:space="preserve">, </w:t>
      </w:r>
      <w:r w:rsidRPr="00163D0E" w:rsidR="002C5712">
        <w:rPr>
          <w:rFonts w:ascii="Times New Roman" w:hAnsi="Times New Roman" w:cs="Times New Roman"/>
        </w:rPr>
        <w:t>this is contingent on the fact that the costs of</w:t>
      </w:r>
      <w:r w:rsidRPr="00163D0E">
        <w:rPr>
          <w:rFonts w:ascii="Times New Roman" w:hAnsi="Times New Roman" w:cs="Times New Roman"/>
        </w:rPr>
        <w:t xml:space="preserve"> acquisition and clearance of the site is </w:t>
      </w:r>
      <w:r w:rsidRPr="00163D0E" w:rsidR="002C5712">
        <w:rPr>
          <w:rFonts w:ascii="Times New Roman" w:hAnsi="Times New Roman" w:cs="Times New Roman"/>
        </w:rPr>
        <w:t>funded</w:t>
      </w:r>
      <w:r w:rsidRPr="00163D0E">
        <w:rPr>
          <w:rFonts w:ascii="Times New Roman" w:hAnsi="Times New Roman" w:cs="Times New Roman"/>
        </w:rPr>
        <w:t xml:space="preserve"> by the Town Deal funding</w:t>
      </w:r>
      <w:r w:rsidRPr="00163D0E">
        <w:rPr>
          <w:rStyle w:val="FootnoteReference"/>
          <w:rFonts w:ascii="Times New Roman" w:hAnsi="Times New Roman" w:cs="Times New Roman"/>
        </w:rPr>
        <w:footnoteReference w:id="76"/>
      </w:r>
      <w:r w:rsidRPr="00163D0E">
        <w:rPr>
          <w:rFonts w:ascii="Times New Roman" w:hAnsi="Times New Roman" w:cs="Times New Roman"/>
        </w:rPr>
        <w:t>.</w:t>
      </w:r>
    </w:p>
    <w:p w:rsidRPr="00163D0E" w:rsidR="00147617" w:rsidP="00036E1F" w:rsidRDefault="00147617" w14:paraId="2587D54A" w14:textId="77777777">
      <w:pPr>
        <w:pStyle w:val="ListParagraph"/>
        <w:spacing w:line="360" w:lineRule="auto"/>
        <w:rPr>
          <w:rFonts w:ascii="Times New Roman" w:hAnsi="Times New Roman" w:cs="Times New Roman"/>
        </w:rPr>
      </w:pPr>
    </w:p>
    <w:p w:rsidRPr="00163D0E" w:rsidR="00147617" w:rsidP="002C5712" w:rsidRDefault="00147617" w14:paraId="488A1844" w14:textId="49BD2F05">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CPO Guidance</w:t>
      </w:r>
      <w:r w:rsidRPr="00163D0E">
        <w:rPr>
          <w:rStyle w:val="FootnoteReference"/>
          <w:rFonts w:ascii="Times New Roman" w:hAnsi="Times New Roman" w:cs="Times New Roman"/>
        </w:rPr>
        <w:footnoteReference w:id="77"/>
      </w:r>
      <w:r w:rsidRPr="00163D0E">
        <w:rPr>
          <w:rFonts w:ascii="Times New Roman" w:hAnsi="Times New Roman" w:cs="Times New Roman"/>
        </w:rPr>
        <w:t xml:space="preserve"> recognises that it might not always be feasible or sensible to wait until full details of a scheme have been worked up before proceeding with an Order. Further, in cases where the proposed acquisitions form part of a </w:t>
      </w:r>
      <w:r w:rsidRPr="00163D0E" w:rsidR="002C5712">
        <w:rPr>
          <w:rFonts w:ascii="Times New Roman" w:hAnsi="Times New Roman" w:cs="Times New Roman"/>
        </w:rPr>
        <w:t>longer-term</w:t>
      </w:r>
      <w:r w:rsidRPr="00163D0E">
        <w:rPr>
          <w:rFonts w:ascii="Times New Roman" w:hAnsi="Times New Roman" w:cs="Times New Roman"/>
        </w:rPr>
        <w:t xml:space="preserve"> strategy which needs to be able to cope with changing circumstances, it may not always be possible to demonstrate with absolute clarity or certainty the precise nature of the end use proposed. It may also be necessary to assemble land before removing or overcoming certain impediments to maximising the opportunities that exist for the area and to attract investment. These are </w:t>
      </w:r>
      <w:r w:rsidRPr="00163D0E" w:rsidR="001F69DE">
        <w:rPr>
          <w:rFonts w:ascii="Times New Roman" w:hAnsi="Times New Roman" w:cs="Times New Roman"/>
        </w:rPr>
        <w:t xml:space="preserve">precisely </w:t>
      </w:r>
      <w:r w:rsidRPr="00163D0E">
        <w:rPr>
          <w:rFonts w:ascii="Times New Roman" w:hAnsi="Times New Roman" w:cs="Times New Roman"/>
        </w:rPr>
        <w:t xml:space="preserve">the circumstances that exist here. </w:t>
      </w:r>
    </w:p>
    <w:p w:rsidRPr="00163D0E" w:rsidR="00147617" w:rsidP="00036E1F" w:rsidRDefault="00147617" w14:paraId="74D1B1E8" w14:textId="77777777">
      <w:pPr>
        <w:pStyle w:val="ListParagraph"/>
        <w:spacing w:line="360" w:lineRule="auto"/>
        <w:rPr>
          <w:rFonts w:ascii="Times New Roman" w:hAnsi="Times New Roman" w:cs="Times New Roman"/>
        </w:rPr>
      </w:pPr>
    </w:p>
    <w:p w:rsidRPr="00163D0E" w:rsidR="00147617" w:rsidP="002C5712" w:rsidRDefault="00147617" w14:paraId="29721F4C" w14:textId="73C27CA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Further, what is clear, on any basis, is that the ability to utilise the Town Deal funding to acquire and clear the entire site is critical </w:t>
      </w:r>
      <w:r w:rsidRPr="00163D0E" w:rsidR="007615C7">
        <w:rPr>
          <w:rFonts w:ascii="Times New Roman" w:hAnsi="Times New Roman" w:cs="Times New Roman"/>
        </w:rPr>
        <w:t xml:space="preserve">to </w:t>
      </w:r>
      <w:r w:rsidRPr="00163D0E">
        <w:rPr>
          <w:rFonts w:ascii="Times New Roman" w:hAnsi="Times New Roman" w:cs="Times New Roman"/>
        </w:rPr>
        <w:t>the ability of the Phase 2 land to come forward for either educational or office use (above). Thus, as NG memorably commented</w:t>
      </w:r>
      <w:r w:rsidRPr="00163D0E">
        <w:rPr>
          <w:rStyle w:val="FootnoteReference"/>
          <w:rFonts w:ascii="Times New Roman" w:hAnsi="Times New Roman" w:cs="Times New Roman"/>
        </w:rPr>
        <w:footnoteReference w:id="78"/>
      </w:r>
      <w:r w:rsidRPr="00163D0E">
        <w:rPr>
          <w:rFonts w:ascii="Times New Roman" w:hAnsi="Times New Roman" w:cs="Times New Roman"/>
        </w:rPr>
        <w:t xml:space="preserve">, if that funding is lost, this will be a </w:t>
      </w:r>
      <w:r w:rsidRPr="00163D0E">
        <w:rPr>
          <w:rFonts w:ascii="Times New Roman" w:hAnsi="Times New Roman" w:cs="Times New Roman"/>
          <w:i/>
          <w:iCs/>
        </w:rPr>
        <w:t>“showstopper”</w:t>
      </w:r>
      <w:r w:rsidRPr="00163D0E">
        <w:rPr>
          <w:rFonts w:ascii="Times New Roman" w:hAnsi="Times New Roman" w:cs="Times New Roman"/>
        </w:rPr>
        <w:t>, and the opportunity to regenerate this important site will be lost.</w:t>
      </w:r>
    </w:p>
    <w:p w:rsidRPr="00163D0E" w:rsidR="00147617" w:rsidP="00036E1F" w:rsidRDefault="00147617" w14:paraId="1A2773B7" w14:textId="77777777">
      <w:pPr>
        <w:pStyle w:val="ListParagraph"/>
        <w:spacing w:line="360" w:lineRule="auto"/>
        <w:rPr>
          <w:rFonts w:ascii="Times New Roman" w:hAnsi="Times New Roman" w:cs="Times New Roman"/>
        </w:rPr>
      </w:pPr>
    </w:p>
    <w:p w:rsidRPr="00163D0E" w:rsidR="00147617" w:rsidP="002C5712" w:rsidRDefault="00147617" w14:paraId="41682E36" w14:textId="4204E1DF">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 It is currently a condition of both the Town Deal funding and LUF funding that funds must be expended by March 2026. Although there is an opportunity to seek an extension of time for expenditure in exceptional circumstances, it remains imperative that the Order is confirmed as soon as possible to ensure the funding remains available, and that the environmental, social and economic benefits of the scheme can be realised</w:t>
      </w:r>
      <w:r w:rsidRPr="00163D0E">
        <w:rPr>
          <w:rStyle w:val="FootnoteReference"/>
          <w:rFonts w:ascii="Times New Roman" w:hAnsi="Times New Roman" w:cs="Times New Roman"/>
        </w:rPr>
        <w:footnoteReference w:id="79"/>
      </w:r>
      <w:r w:rsidRPr="00163D0E">
        <w:rPr>
          <w:rFonts w:ascii="Times New Roman" w:hAnsi="Times New Roman" w:cs="Times New Roman"/>
        </w:rPr>
        <w:t xml:space="preserve">. The confirmation of the CPO </w:t>
      </w:r>
      <w:r w:rsidRPr="00163D0E">
        <w:rPr>
          <w:rFonts w:ascii="Times New Roman" w:hAnsi="Times New Roman" w:cs="Times New Roman"/>
          <w:u w:val="single"/>
        </w:rPr>
        <w:t>now</w:t>
      </w:r>
      <w:r w:rsidRPr="00163D0E">
        <w:rPr>
          <w:rFonts w:ascii="Times New Roman" w:hAnsi="Times New Roman" w:cs="Times New Roman"/>
        </w:rPr>
        <w:t xml:space="preserve"> is therefore necessary both to </w:t>
      </w:r>
      <w:r w:rsidRPr="00163D0E">
        <w:rPr>
          <w:rFonts w:ascii="Times New Roman" w:hAnsi="Times New Roman" w:cs="Times New Roman"/>
          <w:u w:val="single"/>
        </w:rPr>
        <w:t xml:space="preserve">deliver </w:t>
      </w:r>
      <w:r w:rsidRPr="00163D0E">
        <w:rPr>
          <w:rFonts w:ascii="Times New Roman" w:hAnsi="Times New Roman" w:cs="Times New Roman"/>
        </w:rPr>
        <w:t xml:space="preserve">Phase 1 and to </w:t>
      </w:r>
      <w:r w:rsidRPr="00163D0E">
        <w:rPr>
          <w:rFonts w:ascii="Times New Roman" w:hAnsi="Times New Roman" w:cs="Times New Roman"/>
          <w:u w:val="single"/>
        </w:rPr>
        <w:t>enable the delivery</w:t>
      </w:r>
      <w:r w:rsidRPr="00163D0E">
        <w:rPr>
          <w:rFonts w:ascii="Times New Roman" w:hAnsi="Times New Roman" w:cs="Times New Roman"/>
        </w:rPr>
        <w:t xml:space="preserve"> of Phase 2 of this important scheme.</w:t>
      </w:r>
    </w:p>
    <w:p w:rsidRPr="00163D0E" w:rsidR="00147617" w:rsidP="00036E1F" w:rsidRDefault="00147617" w14:paraId="03269BB9" w14:textId="77777777">
      <w:pPr>
        <w:pStyle w:val="ListParagraph"/>
        <w:spacing w:line="360" w:lineRule="auto"/>
        <w:rPr>
          <w:rFonts w:ascii="Times New Roman" w:hAnsi="Times New Roman" w:cs="Times New Roman"/>
        </w:rPr>
      </w:pPr>
    </w:p>
    <w:p w:rsidRPr="00163D0E" w:rsidR="00554110" w:rsidP="00036E1F" w:rsidRDefault="00147617" w14:paraId="5C9C6FEF" w14:textId="55FFEFC9">
      <w:pPr>
        <w:pStyle w:val="ListParagraph"/>
        <w:numPr>
          <w:ilvl w:val="0"/>
          <w:numId w:val="9"/>
        </w:numPr>
        <w:spacing w:line="360" w:lineRule="auto"/>
        <w:rPr>
          <w:rFonts w:ascii="Times New Roman" w:hAnsi="Times New Roman" w:cs="Times New Roman"/>
        </w:rPr>
      </w:pPr>
      <w:r w:rsidRPr="00163D0E">
        <w:rPr>
          <w:rFonts w:ascii="Times New Roman" w:hAnsi="Times New Roman" w:cs="Times New Roman"/>
          <w:i/>
          <w:iCs/>
          <w:u w:val="single"/>
        </w:rPr>
        <w:t>Whether there are likely to be other i</w:t>
      </w:r>
      <w:r w:rsidRPr="00163D0E" w:rsidR="00554110">
        <w:rPr>
          <w:rFonts w:ascii="Times New Roman" w:hAnsi="Times New Roman" w:cs="Times New Roman"/>
          <w:i/>
          <w:iCs/>
          <w:u w:val="single"/>
        </w:rPr>
        <w:t>mpediments to implementation</w:t>
      </w:r>
      <w:r w:rsidRPr="00163D0E">
        <w:rPr>
          <w:rStyle w:val="FootnoteReference"/>
          <w:rFonts w:ascii="Times New Roman" w:hAnsi="Times New Roman" w:cs="Times New Roman"/>
          <w:i/>
          <w:iCs/>
          <w:u w:val="single"/>
        </w:rPr>
        <w:footnoteReference w:id="80"/>
      </w:r>
      <w:r w:rsidRPr="00163D0E">
        <w:rPr>
          <w:rFonts w:ascii="Times New Roman" w:hAnsi="Times New Roman" w:cs="Times New Roman"/>
          <w:i/>
          <w:iCs/>
          <w:u w:val="single"/>
        </w:rPr>
        <w:t xml:space="preserve"> </w:t>
      </w:r>
    </w:p>
    <w:p w:rsidRPr="00163D0E" w:rsidR="00147617" w:rsidP="00036E1F" w:rsidRDefault="00147617" w14:paraId="562FA323" w14:textId="77777777">
      <w:pPr>
        <w:pStyle w:val="ListParagraph"/>
        <w:spacing w:line="360" w:lineRule="auto"/>
        <w:rPr>
          <w:rFonts w:ascii="Times New Roman" w:hAnsi="Times New Roman" w:cs="Times New Roman"/>
        </w:rPr>
      </w:pPr>
    </w:p>
    <w:p w:rsidRPr="00163D0E" w:rsidR="00554110" w:rsidP="002C5712" w:rsidRDefault="00147617" w14:paraId="6F491F89" w14:textId="7FE400F2">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lastRenderedPageBreak/>
        <w:t>O</w:t>
      </w:r>
      <w:r w:rsidRPr="00163D0E" w:rsidR="00554110">
        <w:rPr>
          <w:rFonts w:ascii="Times New Roman" w:hAnsi="Times New Roman" w:cs="Times New Roman"/>
        </w:rPr>
        <w:t>utline planning permission has been granted for both Phases of development, following extensive pre- application consultation and engagement</w:t>
      </w:r>
      <w:r w:rsidRPr="00163D0E" w:rsidR="00554110">
        <w:rPr>
          <w:rStyle w:val="FootnoteReference"/>
          <w:rFonts w:ascii="Times New Roman" w:hAnsi="Times New Roman" w:cs="Times New Roman"/>
        </w:rPr>
        <w:footnoteReference w:id="81"/>
      </w:r>
      <w:r w:rsidRPr="00163D0E" w:rsidR="00554110">
        <w:rPr>
          <w:rFonts w:ascii="Times New Roman" w:hAnsi="Times New Roman" w:cs="Times New Roman"/>
        </w:rPr>
        <w:t xml:space="preserve">, together with statutory consultation and engagement. </w:t>
      </w:r>
      <w:r w:rsidR="0007427B">
        <w:rPr>
          <w:rFonts w:ascii="Times New Roman" w:hAnsi="Times New Roman" w:cs="Times New Roman"/>
        </w:rPr>
        <w:t xml:space="preserve">That </w:t>
      </w:r>
      <w:r w:rsidRPr="00163D0E" w:rsidR="002C5712">
        <w:rPr>
          <w:rFonts w:ascii="Times New Roman" w:hAnsi="Times New Roman" w:cs="Times New Roman"/>
        </w:rPr>
        <w:t>planning permission is extant and there was no challenge to its validity within the statutory period. Further</w:t>
      </w:r>
      <w:r w:rsidRPr="00163D0E" w:rsidR="00554110">
        <w:rPr>
          <w:rFonts w:ascii="Times New Roman" w:hAnsi="Times New Roman" w:cs="Times New Roman"/>
        </w:rPr>
        <w:t xml:space="preserve">, </w:t>
      </w:r>
      <w:proofErr w:type="gramStart"/>
      <w:r w:rsidRPr="00163D0E" w:rsidR="00554110">
        <w:rPr>
          <w:rFonts w:ascii="Times New Roman" w:hAnsi="Times New Roman" w:cs="Times New Roman"/>
        </w:rPr>
        <w:t xml:space="preserve">it is clear that </w:t>
      </w:r>
      <w:r w:rsidR="0007427B">
        <w:rPr>
          <w:rFonts w:ascii="Times New Roman" w:hAnsi="Times New Roman" w:cs="Times New Roman"/>
        </w:rPr>
        <w:t>those</w:t>
      </w:r>
      <w:proofErr w:type="gramEnd"/>
      <w:r w:rsidR="0007427B">
        <w:rPr>
          <w:rFonts w:ascii="Times New Roman" w:hAnsi="Times New Roman" w:cs="Times New Roman"/>
        </w:rPr>
        <w:t xml:space="preserve"> that then objected to the scheme, including </w:t>
      </w:r>
      <w:r w:rsidRPr="00163D0E" w:rsidR="002C5712">
        <w:rPr>
          <w:rFonts w:ascii="Times New Roman" w:hAnsi="Times New Roman" w:cs="Times New Roman"/>
        </w:rPr>
        <w:t>Mr. Whyte</w:t>
      </w:r>
      <w:r w:rsidR="0007427B">
        <w:rPr>
          <w:rStyle w:val="FootnoteReference"/>
          <w:rFonts w:ascii="Times New Roman" w:hAnsi="Times New Roman" w:cs="Times New Roman"/>
        </w:rPr>
        <w:footnoteReference w:id="82"/>
      </w:r>
      <w:r w:rsidR="0007427B">
        <w:rPr>
          <w:rFonts w:ascii="Times New Roman" w:hAnsi="Times New Roman" w:cs="Times New Roman"/>
        </w:rPr>
        <w:t>,</w:t>
      </w:r>
      <w:r w:rsidRPr="00163D0E" w:rsidR="002C5712">
        <w:rPr>
          <w:rFonts w:ascii="Times New Roman" w:hAnsi="Times New Roman" w:cs="Times New Roman"/>
        </w:rPr>
        <w:t xml:space="preserve"> did have the</w:t>
      </w:r>
      <w:r w:rsidRPr="00163D0E" w:rsidR="00554110">
        <w:rPr>
          <w:rFonts w:ascii="Times New Roman" w:hAnsi="Times New Roman" w:cs="Times New Roman"/>
        </w:rPr>
        <w:t xml:space="preserve"> opportunity to comment</w:t>
      </w:r>
      <w:r w:rsidR="0007427B">
        <w:rPr>
          <w:rFonts w:ascii="Times New Roman" w:hAnsi="Times New Roman" w:cs="Times New Roman"/>
        </w:rPr>
        <w:t xml:space="preserve">. For example, Mr. Whyte’s concerns were </w:t>
      </w:r>
      <w:r w:rsidRPr="00163D0E" w:rsidR="00554110">
        <w:rPr>
          <w:rFonts w:ascii="Times New Roman" w:hAnsi="Times New Roman" w:cs="Times New Roman"/>
        </w:rPr>
        <w:t xml:space="preserve">reported to </w:t>
      </w:r>
      <w:r w:rsidRPr="00163D0E" w:rsidR="001F69DE">
        <w:rPr>
          <w:rFonts w:ascii="Times New Roman" w:hAnsi="Times New Roman" w:cs="Times New Roman"/>
        </w:rPr>
        <w:t xml:space="preserve">the Planning </w:t>
      </w:r>
      <w:r w:rsidRPr="00163D0E" w:rsidR="00554110">
        <w:rPr>
          <w:rFonts w:ascii="Times New Roman" w:hAnsi="Times New Roman" w:cs="Times New Roman"/>
        </w:rPr>
        <w:t xml:space="preserve">Committee, and </w:t>
      </w:r>
      <w:r w:rsidR="0007427B">
        <w:rPr>
          <w:rFonts w:ascii="Times New Roman" w:hAnsi="Times New Roman" w:cs="Times New Roman"/>
        </w:rPr>
        <w:t>Mr. Whyte</w:t>
      </w:r>
      <w:r w:rsidRPr="00163D0E" w:rsidR="002C5712">
        <w:rPr>
          <w:rFonts w:ascii="Times New Roman" w:hAnsi="Times New Roman" w:cs="Times New Roman"/>
        </w:rPr>
        <w:t xml:space="preserve"> spoke at the </w:t>
      </w:r>
      <w:r w:rsidRPr="00163D0E" w:rsidR="00554110">
        <w:rPr>
          <w:rFonts w:ascii="Times New Roman" w:hAnsi="Times New Roman" w:cs="Times New Roman"/>
        </w:rPr>
        <w:t>Committee</w:t>
      </w:r>
      <w:r w:rsidR="0007427B">
        <w:rPr>
          <w:rFonts w:ascii="Times New Roman" w:hAnsi="Times New Roman" w:cs="Times New Roman"/>
        </w:rPr>
        <w:t xml:space="preserve">.  </w:t>
      </w:r>
      <w:r w:rsidRPr="00163D0E" w:rsidR="002C5712">
        <w:rPr>
          <w:rFonts w:ascii="Times New Roman" w:hAnsi="Times New Roman" w:cs="Times New Roman"/>
        </w:rPr>
        <w:t>Nevertheless</w:t>
      </w:r>
      <w:r w:rsidRPr="00163D0E" w:rsidR="00554110">
        <w:rPr>
          <w:rFonts w:ascii="Times New Roman" w:hAnsi="Times New Roman" w:cs="Times New Roman"/>
        </w:rPr>
        <w:t xml:space="preserve">, the Council’s </w:t>
      </w:r>
      <w:r w:rsidRPr="00163D0E" w:rsidR="002C5712">
        <w:rPr>
          <w:rFonts w:ascii="Times New Roman" w:hAnsi="Times New Roman" w:cs="Times New Roman"/>
        </w:rPr>
        <w:t>P</w:t>
      </w:r>
      <w:r w:rsidRPr="00163D0E" w:rsidR="00554110">
        <w:rPr>
          <w:rFonts w:ascii="Times New Roman" w:hAnsi="Times New Roman" w:cs="Times New Roman"/>
        </w:rPr>
        <w:t>rofessional Officer concluded the scheme would clearly accord with the overall thrust and ambitions of the local plan as a whole</w:t>
      </w:r>
      <w:r w:rsidRPr="00163D0E" w:rsidR="00554110">
        <w:rPr>
          <w:rStyle w:val="FootnoteReference"/>
          <w:rFonts w:ascii="Times New Roman" w:hAnsi="Times New Roman" w:cs="Times New Roman"/>
        </w:rPr>
        <w:footnoteReference w:id="83"/>
      </w:r>
      <w:r w:rsidRPr="00163D0E" w:rsidR="00554110">
        <w:rPr>
          <w:rFonts w:ascii="Times New Roman" w:hAnsi="Times New Roman" w:cs="Times New Roman"/>
        </w:rPr>
        <w:t xml:space="preserve">, would deliver </w:t>
      </w:r>
      <w:r w:rsidRPr="00163D0E" w:rsidR="00554110">
        <w:rPr>
          <w:rFonts w:ascii="Times New Roman" w:hAnsi="Times New Roman" w:cs="Times New Roman"/>
          <w:i/>
          <w:iCs/>
        </w:rPr>
        <w:t>“clear”</w:t>
      </w:r>
      <w:r w:rsidRPr="00163D0E" w:rsidR="00554110">
        <w:rPr>
          <w:rFonts w:ascii="Times New Roman" w:hAnsi="Times New Roman" w:cs="Times New Roman"/>
        </w:rPr>
        <w:t xml:space="preserve"> economic, social and environmental benefits, and that planning permission should be granted. The </w:t>
      </w:r>
      <w:r w:rsidRPr="00163D0E" w:rsidR="00B84236">
        <w:rPr>
          <w:rFonts w:ascii="Times New Roman" w:hAnsi="Times New Roman" w:cs="Times New Roman"/>
        </w:rPr>
        <w:t>LPA resolved in accordance with the recommendation of its Officer</w:t>
      </w:r>
      <w:r w:rsidRPr="00163D0E" w:rsidR="00554110">
        <w:rPr>
          <w:rFonts w:ascii="Times New Roman" w:hAnsi="Times New Roman" w:cs="Times New Roman"/>
        </w:rPr>
        <w:t xml:space="preserve">. The </w:t>
      </w:r>
      <w:r w:rsidRPr="00163D0E">
        <w:rPr>
          <w:rFonts w:ascii="Times New Roman" w:hAnsi="Times New Roman" w:cs="Times New Roman"/>
        </w:rPr>
        <w:t>scheme,</w:t>
      </w:r>
      <w:r w:rsidRPr="00163D0E" w:rsidR="00554110">
        <w:rPr>
          <w:rFonts w:ascii="Times New Roman" w:hAnsi="Times New Roman" w:cs="Times New Roman"/>
        </w:rPr>
        <w:t xml:space="preserve"> therefore, in its entirety, benefits from extant </w:t>
      </w:r>
      <w:r w:rsidRPr="00163D0E" w:rsidR="00B84236">
        <w:rPr>
          <w:rFonts w:ascii="Times New Roman" w:hAnsi="Times New Roman" w:cs="Times New Roman"/>
        </w:rPr>
        <w:t>O</w:t>
      </w:r>
      <w:r w:rsidRPr="00163D0E" w:rsidR="00554110">
        <w:rPr>
          <w:rFonts w:ascii="Times New Roman" w:hAnsi="Times New Roman" w:cs="Times New Roman"/>
        </w:rPr>
        <w:t xml:space="preserve">utline </w:t>
      </w:r>
      <w:r w:rsidRPr="00163D0E" w:rsidR="00B84236">
        <w:rPr>
          <w:rFonts w:ascii="Times New Roman" w:hAnsi="Times New Roman" w:cs="Times New Roman"/>
        </w:rPr>
        <w:t>P</w:t>
      </w:r>
      <w:r w:rsidRPr="00163D0E" w:rsidR="00554110">
        <w:rPr>
          <w:rFonts w:ascii="Times New Roman" w:hAnsi="Times New Roman" w:cs="Times New Roman"/>
        </w:rPr>
        <w:t xml:space="preserve">lanning </w:t>
      </w:r>
      <w:r w:rsidRPr="00163D0E" w:rsidR="00B84236">
        <w:rPr>
          <w:rFonts w:ascii="Times New Roman" w:hAnsi="Times New Roman" w:cs="Times New Roman"/>
        </w:rPr>
        <w:t>P</w:t>
      </w:r>
      <w:r w:rsidRPr="00163D0E" w:rsidR="00554110">
        <w:rPr>
          <w:rFonts w:ascii="Times New Roman" w:hAnsi="Times New Roman" w:cs="Times New Roman"/>
        </w:rPr>
        <w:t>ermission.</w:t>
      </w:r>
    </w:p>
    <w:p w:rsidRPr="00163D0E" w:rsidR="00554110" w:rsidP="00036E1F" w:rsidRDefault="00554110" w14:paraId="47A2344F" w14:textId="77777777">
      <w:pPr>
        <w:pStyle w:val="ListParagraph"/>
        <w:spacing w:line="360" w:lineRule="auto"/>
        <w:rPr>
          <w:rFonts w:ascii="Times New Roman" w:hAnsi="Times New Roman" w:cs="Times New Roman"/>
        </w:rPr>
      </w:pPr>
    </w:p>
    <w:p w:rsidRPr="00163D0E" w:rsidR="00384AFD" w:rsidP="002C5712" w:rsidRDefault="00554110" w14:paraId="500F1C3B" w14:textId="362F9A31">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Reserved </w:t>
      </w:r>
      <w:r w:rsidRPr="00163D0E" w:rsidR="00C816DC">
        <w:rPr>
          <w:rFonts w:ascii="Times New Roman" w:hAnsi="Times New Roman" w:cs="Times New Roman"/>
        </w:rPr>
        <w:t>M</w:t>
      </w:r>
      <w:r w:rsidRPr="00163D0E">
        <w:rPr>
          <w:rFonts w:ascii="Times New Roman" w:hAnsi="Times New Roman" w:cs="Times New Roman"/>
        </w:rPr>
        <w:t xml:space="preserve">atters applications were submitted in September this year following positive pre-application discussions with LPA </w:t>
      </w:r>
      <w:r w:rsidRPr="00163D0E" w:rsidR="00384AFD">
        <w:rPr>
          <w:rFonts w:ascii="Times New Roman" w:hAnsi="Times New Roman" w:cs="Times New Roman"/>
        </w:rPr>
        <w:t>officers. There have been no objections from statutory consultees to date, and the letter from the Head of Development Management dated 29</w:t>
      </w:r>
      <w:r w:rsidRPr="00163D0E" w:rsidR="00384AFD">
        <w:rPr>
          <w:rFonts w:ascii="Times New Roman" w:hAnsi="Times New Roman" w:cs="Times New Roman"/>
          <w:vertAlign w:val="superscript"/>
        </w:rPr>
        <w:t>th</w:t>
      </w:r>
      <w:r w:rsidRPr="00163D0E" w:rsidR="00384AFD">
        <w:rPr>
          <w:rFonts w:ascii="Times New Roman" w:hAnsi="Times New Roman" w:cs="Times New Roman"/>
        </w:rPr>
        <w:t xml:space="preserve"> November 2024 addresses each of the reserved matters and concludes that,</w:t>
      </w:r>
    </w:p>
    <w:p w:rsidRPr="00163D0E" w:rsidR="00384AFD" w:rsidP="00384AFD" w:rsidRDefault="00384AFD" w14:paraId="6EBAF1CD" w14:textId="77777777">
      <w:pPr>
        <w:pStyle w:val="ListParagraph"/>
        <w:rPr>
          <w:rFonts w:ascii="Times New Roman" w:hAnsi="Times New Roman" w:cs="Times New Roman"/>
        </w:rPr>
      </w:pPr>
    </w:p>
    <w:p w:rsidRPr="00163D0E" w:rsidR="00384AFD" w:rsidP="00384AFD" w:rsidRDefault="00384AFD" w14:paraId="7EA2AFB7" w14:textId="505D767A">
      <w:pPr>
        <w:pStyle w:val="ListParagraph"/>
        <w:spacing w:line="360" w:lineRule="auto"/>
        <w:rPr>
          <w:rFonts w:ascii="Times New Roman" w:hAnsi="Times New Roman" w:cs="Times New Roman"/>
          <w:i/>
          <w:iCs/>
        </w:rPr>
      </w:pPr>
      <w:r w:rsidRPr="00163D0E">
        <w:rPr>
          <w:rFonts w:ascii="Times New Roman" w:hAnsi="Times New Roman" w:cs="Times New Roman"/>
          <w:i/>
          <w:iCs/>
        </w:rPr>
        <w:t>“…officers are confident that all reserved matters can be successfully addressed to enable a reserved matters approval to be granted…it is anticipated that the application will be put before the Council’s Planning Committee for determination early in the new year with a positive recommendation for approval once the details of the final access arrangements have been resolved”.</w:t>
      </w:r>
    </w:p>
    <w:p w:rsidRPr="00163D0E" w:rsidR="00384AFD" w:rsidP="00384AFD" w:rsidRDefault="00384AFD" w14:paraId="14F4957E" w14:textId="77777777">
      <w:pPr>
        <w:pStyle w:val="ListParagraph"/>
        <w:spacing w:line="360" w:lineRule="auto"/>
        <w:rPr>
          <w:rFonts w:ascii="Times New Roman" w:hAnsi="Times New Roman" w:cs="Times New Roman"/>
          <w:i/>
          <w:iCs/>
        </w:rPr>
      </w:pPr>
    </w:p>
    <w:p w:rsidRPr="00163D0E" w:rsidR="00384AFD" w:rsidP="00384AFD" w:rsidRDefault="00384AFD" w14:paraId="12378A57" w14:textId="411C9170">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Officers comments in relation to final access arrangements relate to the fact that, following the submission of the original reserved matters application, some £15.4m funding has been awarded from the Department of Transport for town centre highway improvement works</w:t>
      </w:r>
      <w:r w:rsidR="00EB5AB7">
        <w:rPr>
          <w:rFonts w:ascii="Times New Roman" w:hAnsi="Times New Roman" w:cs="Times New Roman"/>
        </w:rPr>
        <w:t xml:space="preserve"> (The Town Centre Access Scheme)</w:t>
      </w:r>
      <w:r w:rsidRPr="00163D0E">
        <w:rPr>
          <w:rFonts w:ascii="Times New Roman" w:hAnsi="Times New Roman" w:cs="Times New Roman"/>
        </w:rPr>
        <w:t xml:space="preserve">, including the closure of George Street. The Council is working closely with the Local Planning and Highway Authority to co-ordinate the approach and timetable for the delivery of the works and </w:t>
      </w:r>
      <w:r w:rsidRPr="00163D0E">
        <w:rPr>
          <w:rFonts w:ascii="Times New Roman" w:hAnsi="Times New Roman" w:cs="Times New Roman"/>
        </w:rPr>
        <w:lastRenderedPageBreak/>
        <w:t xml:space="preserve">the proposed development, as recognised in the comments from the Head of Development Management. Mr. Harvey and Mr. Gerrard were confident that these matters can be agreed, and the letter of the </w:t>
      </w:r>
      <w:proofErr w:type="gramStart"/>
      <w:r w:rsidRPr="00163D0E">
        <w:rPr>
          <w:rFonts w:ascii="Times New Roman" w:hAnsi="Times New Roman" w:cs="Times New Roman"/>
        </w:rPr>
        <w:t>29</w:t>
      </w:r>
      <w:r w:rsidRPr="00163D0E">
        <w:rPr>
          <w:rFonts w:ascii="Times New Roman" w:hAnsi="Times New Roman" w:cs="Times New Roman"/>
          <w:vertAlign w:val="superscript"/>
        </w:rPr>
        <w:t>th</w:t>
      </w:r>
      <w:proofErr w:type="gramEnd"/>
      <w:r w:rsidRPr="00163D0E">
        <w:rPr>
          <w:rFonts w:ascii="Times New Roman" w:hAnsi="Times New Roman" w:cs="Times New Roman"/>
        </w:rPr>
        <w:t xml:space="preserve"> November confirms, in terms, that this confidence is shared by the Head of Development Management.</w:t>
      </w:r>
      <w:r w:rsidR="00CE0492">
        <w:rPr>
          <w:rFonts w:ascii="Times New Roman" w:hAnsi="Times New Roman" w:cs="Times New Roman"/>
        </w:rPr>
        <w:t xml:space="preserve"> The synergy and inter-connection between the proposed scheme for George Street and the proposed Multiversity development will plainly amplify the regeneration benefits to be realised.</w:t>
      </w:r>
    </w:p>
    <w:p w:rsidRPr="00163D0E" w:rsidR="00384AFD" w:rsidP="00384AFD" w:rsidRDefault="00384AFD" w14:paraId="4A3996C9" w14:textId="77777777">
      <w:pPr>
        <w:pStyle w:val="ListParagraph"/>
        <w:spacing w:line="360" w:lineRule="auto"/>
        <w:rPr>
          <w:rFonts w:ascii="Times New Roman" w:hAnsi="Times New Roman" w:cs="Times New Roman"/>
        </w:rPr>
      </w:pPr>
    </w:p>
    <w:p w:rsidRPr="00163D0E" w:rsidR="00554110" w:rsidP="00384AFD" w:rsidRDefault="00384AFD" w14:paraId="20A39F81" w14:textId="569B3ABE">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Further, t</w:t>
      </w:r>
      <w:r w:rsidRPr="00163D0E" w:rsidR="00554110">
        <w:rPr>
          <w:rFonts w:ascii="Times New Roman" w:hAnsi="Times New Roman" w:cs="Times New Roman"/>
        </w:rPr>
        <w:t>here are no obvious reasons why any</w:t>
      </w:r>
      <w:r w:rsidRPr="00163D0E">
        <w:rPr>
          <w:rFonts w:ascii="Times New Roman" w:hAnsi="Times New Roman" w:cs="Times New Roman"/>
        </w:rPr>
        <w:t xml:space="preserve"> other</w:t>
      </w:r>
      <w:r w:rsidRPr="00163D0E" w:rsidR="00554110">
        <w:rPr>
          <w:rFonts w:ascii="Times New Roman" w:hAnsi="Times New Roman" w:cs="Times New Roman"/>
        </w:rPr>
        <w:t xml:space="preserve"> necessary highways consents would not be achieved</w:t>
      </w:r>
      <w:r w:rsidRPr="00163D0E" w:rsidR="00554110">
        <w:rPr>
          <w:rStyle w:val="FootnoteReference"/>
          <w:rFonts w:ascii="Times New Roman" w:hAnsi="Times New Roman" w:cs="Times New Roman"/>
        </w:rPr>
        <w:footnoteReference w:id="84"/>
      </w:r>
      <w:r w:rsidRPr="00163D0E" w:rsidR="00147617">
        <w:rPr>
          <w:rFonts w:ascii="Times New Roman" w:hAnsi="Times New Roman" w:cs="Times New Roman"/>
        </w:rPr>
        <w:t>, w</w:t>
      </w:r>
      <w:r w:rsidRPr="00163D0E" w:rsidR="00554110">
        <w:rPr>
          <w:rFonts w:ascii="Times New Roman" w:hAnsi="Times New Roman" w:cs="Times New Roman"/>
        </w:rPr>
        <w:t xml:space="preserve">ork has commenced to start discharging planning conditions, and applications have already been submitted in respect of 5 pre-commencement conditions. </w:t>
      </w:r>
    </w:p>
    <w:p w:rsidRPr="00163D0E" w:rsidR="00147617" w:rsidP="00036E1F" w:rsidRDefault="00147617" w14:paraId="3A8D4BFA" w14:textId="77777777">
      <w:pPr>
        <w:pStyle w:val="ListParagraph"/>
        <w:spacing w:line="360" w:lineRule="auto"/>
        <w:rPr>
          <w:rFonts w:ascii="Times New Roman" w:hAnsi="Times New Roman" w:cs="Times New Roman"/>
        </w:rPr>
      </w:pPr>
    </w:p>
    <w:p w:rsidR="00CE0492" w:rsidP="00CE0492" w:rsidRDefault="00147617" w14:paraId="76288FAD" w14:textId="25C43D19">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There are, therefore, unlikely to be any planning or other impediments to</w:t>
      </w:r>
      <w:r w:rsidRPr="00163D0E" w:rsidR="00361BCA">
        <w:rPr>
          <w:rFonts w:ascii="Times New Roman" w:hAnsi="Times New Roman" w:cs="Times New Roman"/>
        </w:rPr>
        <w:t xml:space="preserve"> the</w:t>
      </w:r>
      <w:r w:rsidRPr="00163D0E">
        <w:rPr>
          <w:rFonts w:ascii="Times New Roman" w:hAnsi="Times New Roman" w:cs="Times New Roman"/>
        </w:rPr>
        <w:t xml:space="preserve"> implementation of the scheme proposed</w:t>
      </w:r>
      <w:r w:rsidRPr="00163D0E">
        <w:rPr>
          <w:rStyle w:val="FootnoteReference"/>
          <w:rFonts w:ascii="Times New Roman" w:hAnsi="Times New Roman" w:cs="Times New Roman"/>
        </w:rPr>
        <w:footnoteReference w:id="85"/>
      </w:r>
      <w:r w:rsidRPr="00163D0E">
        <w:rPr>
          <w:rFonts w:ascii="Times New Roman" w:hAnsi="Times New Roman" w:cs="Times New Roman"/>
        </w:rPr>
        <w:t xml:space="preserve">. </w:t>
      </w:r>
    </w:p>
    <w:p w:rsidR="00CE0492" w:rsidP="00CE0492" w:rsidRDefault="00CE0492" w14:paraId="6885CAA9" w14:textId="77777777">
      <w:pPr>
        <w:pStyle w:val="ListParagraph"/>
        <w:spacing w:line="360" w:lineRule="auto"/>
        <w:ind w:left="1080"/>
        <w:rPr>
          <w:rFonts w:ascii="Times New Roman" w:hAnsi="Times New Roman" w:cs="Times New Roman"/>
          <w:u w:val="single"/>
        </w:rPr>
      </w:pPr>
    </w:p>
    <w:p w:rsidRPr="0007427B" w:rsidR="00A50D0A" w:rsidP="00CE0492" w:rsidRDefault="00147617" w14:paraId="2ED146EF" w14:textId="5CEC18F1">
      <w:pPr>
        <w:pStyle w:val="ListParagraph"/>
        <w:numPr>
          <w:ilvl w:val="0"/>
          <w:numId w:val="9"/>
        </w:numPr>
        <w:spacing w:line="360" w:lineRule="auto"/>
        <w:rPr>
          <w:rFonts w:ascii="Times New Roman" w:hAnsi="Times New Roman" w:cs="Times New Roman"/>
          <w:i/>
          <w:iCs/>
          <w:u w:val="single"/>
        </w:rPr>
      </w:pPr>
      <w:r w:rsidRPr="0007427B">
        <w:rPr>
          <w:rFonts w:ascii="Times New Roman" w:hAnsi="Times New Roman" w:cs="Times New Roman"/>
          <w:i/>
          <w:iCs/>
          <w:u w:val="single"/>
        </w:rPr>
        <w:t>Engagement, negotiation, and impacts on affected parties</w:t>
      </w:r>
    </w:p>
    <w:p w:rsidRPr="00163D0E" w:rsidR="00227556" w:rsidP="00227556" w:rsidRDefault="00227556" w14:paraId="64F3E2A0" w14:textId="77777777">
      <w:pPr>
        <w:pStyle w:val="ListParagraph"/>
        <w:spacing w:line="360" w:lineRule="auto"/>
        <w:ind w:left="1080"/>
        <w:rPr>
          <w:rFonts w:ascii="Times New Roman" w:hAnsi="Times New Roman" w:cs="Times New Roman"/>
          <w:u w:val="single"/>
        </w:rPr>
      </w:pPr>
    </w:p>
    <w:p w:rsidRPr="00163D0E" w:rsidR="00227556" w:rsidP="00227556" w:rsidRDefault="007302B4" w14:paraId="75521D02" w14:textId="7777777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There has been significant, meaningful, and direct engagement with all those affected by the Order, and the Council has sought to acquire all land and rights by agreement, in accordance with para. 2.2 CPO Guidance.</w:t>
      </w:r>
      <w:r w:rsidRPr="00163D0E" w:rsidR="00227556">
        <w:rPr>
          <w:rFonts w:ascii="Times New Roman" w:hAnsi="Times New Roman" w:cs="Times New Roman"/>
        </w:rPr>
        <w:t xml:space="preserve"> </w:t>
      </w:r>
    </w:p>
    <w:p w:rsidRPr="00163D0E" w:rsidR="00227556" w:rsidP="00227556" w:rsidRDefault="00227556" w14:paraId="474EA74C" w14:textId="77777777">
      <w:pPr>
        <w:pStyle w:val="ListParagraph"/>
        <w:spacing w:line="360" w:lineRule="auto"/>
        <w:rPr>
          <w:rFonts w:ascii="Times New Roman" w:hAnsi="Times New Roman" w:cs="Times New Roman"/>
        </w:rPr>
      </w:pPr>
    </w:p>
    <w:p w:rsidRPr="00163D0E" w:rsidR="00227556" w:rsidP="00227556" w:rsidRDefault="00227556" w14:paraId="7E262235" w14:textId="202F4EEC">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Indeed, </w:t>
      </w:r>
      <w:r w:rsidRPr="00163D0E" w:rsidR="005E6384">
        <w:rPr>
          <w:rFonts w:ascii="Times New Roman" w:hAnsi="Times New Roman" w:cs="Times New Roman"/>
        </w:rPr>
        <w:t xml:space="preserve">as the Council noted in opening, </w:t>
      </w:r>
      <w:r w:rsidRPr="00163D0E">
        <w:rPr>
          <w:rFonts w:ascii="Times New Roman" w:hAnsi="Times New Roman" w:cs="Times New Roman"/>
        </w:rPr>
        <w:t>it is a testament to the efforts of the Council that, at the time proofs were exchanged, some 31 of 72 legal interests had completed, terms had been agreed in respect of a further 18, and therefore the Council has already agreed the acquisition of some 70% of the Order land by agreement. It is further testament to the</w:t>
      </w:r>
      <w:r w:rsidR="00216458">
        <w:rPr>
          <w:rFonts w:ascii="Times New Roman" w:hAnsi="Times New Roman" w:cs="Times New Roman"/>
        </w:rPr>
        <w:t xml:space="preserve"> Council’s</w:t>
      </w:r>
      <w:r w:rsidRPr="00163D0E">
        <w:rPr>
          <w:rFonts w:ascii="Times New Roman" w:hAnsi="Times New Roman" w:cs="Times New Roman"/>
        </w:rPr>
        <w:t xml:space="preserve"> continuing efforts that, by the time oral evidence was </w:t>
      </w:r>
      <w:r w:rsidR="00216458">
        <w:rPr>
          <w:rFonts w:ascii="Times New Roman" w:hAnsi="Times New Roman" w:cs="Times New Roman"/>
        </w:rPr>
        <w:t>concluded</w:t>
      </w:r>
      <w:r w:rsidRPr="00163D0E">
        <w:rPr>
          <w:rStyle w:val="FootnoteReference"/>
          <w:rFonts w:ascii="Times New Roman" w:hAnsi="Times New Roman" w:cs="Times New Roman"/>
        </w:rPr>
        <w:footnoteReference w:id="86"/>
      </w:r>
      <w:r w:rsidRPr="00163D0E">
        <w:rPr>
          <w:rFonts w:ascii="Times New Roman" w:hAnsi="Times New Roman" w:cs="Times New Roman"/>
        </w:rPr>
        <w:t>, 9 objections had been withdrawn</w:t>
      </w:r>
      <w:r w:rsidRPr="00163D0E">
        <w:rPr>
          <w:rStyle w:val="FootnoteReference"/>
          <w:rFonts w:ascii="Times New Roman" w:hAnsi="Times New Roman" w:cs="Times New Roman"/>
        </w:rPr>
        <w:footnoteReference w:id="87"/>
      </w:r>
      <w:r w:rsidRPr="00163D0E">
        <w:rPr>
          <w:rFonts w:ascii="Times New Roman" w:hAnsi="Times New Roman" w:cs="Times New Roman"/>
        </w:rPr>
        <w:t>, and some 82% of legal interests in the Order Land were agreed or completed.</w:t>
      </w:r>
    </w:p>
    <w:p w:rsidRPr="00163D0E" w:rsidR="007302B4" w:rsidP="00227556" w:rsidRDefault="007302B4" w14:paraId="69B5BC0F" w14:textId="17FB411E">
      <w:pPr>
        <w:pStyle w:val="ListParagraph"/>
        <w:spacing w:line="360" w:lineRule="auto"/>
        <w:ind w:left="714"/>
        <w:rPr>
          <w:rFonts w:ascii="Times New Roman" w:hAnsi="Times New Roman" w:cs="Times New Roman"/>
        </w:rPr>
      </w:pPr>
    </w:p>
    <w:p w:rsidRPr="00163D0E" w:rsidR="007302B4" w:rsidP="007302B4" w:rsidRDefault="007302B4" w14:paraId="76A6409F" w14:textId="2A3ED586">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lastRenderedPageBreak/>
        <w:t xml:space="preserve">As set out in the evidence of Mr. Yakub (“TY”), the Council has been actively attempting to acquire all property interests in the Order Land </w:t>
      </w:r>
      <w:r w:rsidR="00216458">
        <w:rPr>
          <w:rFonts w:ascii="Times New Roman" w:hAnsi="Times New Roman" w:cs="Times New Roman"/>
        </w:rPr>
        <w:t xml:space="preserve">now </w:t>
      </w:r>
      <w:r w:rsidRPr="00163D0E">
        <w:rPr>
          <w:rFonts w:ascii="Times New Roman" w:hAnsi="Times New Roman" w:cs="Times New Roman"/>
        </w:rPr>
        <w:t xml:space="preserve">for </w:t>
      </w:r>
      <w:proofErr w:type="gramStart"/>
      <w:r w:rsidRPr="00163D0E">
        <w:rPr>
          <w:rFonts w:ascii="Times New Roman" w:hAnsi="Times New Roman" w:cs="Times New Roman"/>
        </w:rPr>
        <w:t>in excess of</w:t>
      </w:r>
      <w:proofErr w:type="gramEnd"/>
      <w:r w:rsidRPr="00163D0E">
        <w:rPr>
          <w:rFonts w:ascii="Times New Roman" w:hAnsi="Times New Roman" w:cs="Times New Roman"/>
        </w:rPr>
        <w:t xml:space="preserve"> 2 years</w:t>
      </w:r>
      <w:r w:rsidRPr="00163D0E">
        <w:rPr>
          <w:rStyle w:val="FootnoteReference"/>
          <w:rFonts w:ascii="Times New Roman" w:hAnsi="Times New Roman" w:cs="Times New Roman"/>
        </w:rPr>
        <w:footnoteReference w:id="88"/>
      </w:r>
      <w:r w:rsidRPr="00163D0E">
        <w:rPr>
          <w:rFonts w:ascii="Times New Roman" w:hAnsi="Times New Roman" w:cs="Times New Roman"/>
        </w:rPr>
        <w:t>. This commenced with an initial letter sent out to commercial properties</w:t>
      </w:r>
      <w:r w:rsidR="00CE0492">
        <w:rPr>
          <w:rFonts w:ascii="Times New Roman" w:hAnsi="Times New Roman" w:cs="Times New Roman"/>
        </w:rPr>
        <w:t xml:space="preserve"> </w:t>
      </w:r>
      <w:r w:rsidRPr="00163D0E" w:rsidR="00CE0492">
        <w:rPr>
          <w:rFonts w:ascii="Times New Roman" w:hAnsi="Times New Roman" w:cs="Times New Roman"/>
        </w:rPr>
        <w:t>in March 2022</w:t>
      </w:r>
      <w:r w:rsidRPr="00163D0E">
        <w:rPr>
          <w:rFonts w:ascii="Times New Roman" w:hAnsi="Times New Roman" w:cs="Times New Roman"/>
        </w:rPr>
        <w:t>, followed by an initial letter to residential properties by September 2022</w:t>
      </w:r>
      <w:r w:rsidRPr="00163D0E">
        <w:rPr>
          <w:rStyle w:val="FootnoteReference"/>
          <w:rFonts w:ascii="Times New Roman" w:hAnsi="Times New Roman" w:cs="Times New Roman"/>
        </w:rPr>
        <w:footnoteReference w:id="89"/>
      </w:r>
      <w:r w:rsidRPr="00163D0E">
        <w:rPr>
          <w:rFonts w:ascii="Times New Roman" w:hAnsi="Times New Roman" w:cs="Times New Roman"/>
        </w:rPr>
        <w:t>. By the end of 2022, all properties had received their first offer</w:t>
      </w:r>
      <w:r w:rsidRPr="00163D0E">
        <w:rPr>
          <w:rStyle w:val="FootnoteReference"/>
          <w:rFonts w:ascii="Times New Roman" w:hAnsi="Times New Roman" w:cs="Times New Roman"/>
        </w:rPr>
        <w:footnoteReference w:id="90"/>
      </w:r>
      <w:r w:rsidR="00216458">
        <w:rPr>
          <w:rFonts w:ascii="Times New Roman" w:hAnsi="Times New Roman" w:cs="Times New Roman"/>
        </w:rPr>
        <w:t>, and t</w:t>
      </w:r>
      <w:r w:rsidRPr="00163D0E">
        <w:rPr>
          <w:rFonts w:ascii="Times New Roman" w:hAnsi="Times New Roman" w:cs="Times New Roman"/>
        </w:rPr>
        <w:t>he first acquisition completed in November 2022</w:t>
      </w:r>
      <w:r w:rsidRPr="00163D0E">
        <w:rPr>
          <w:rStyle w:val="FootnoteReference"/>
          <w:rFonts w:ascii="Times New Roman" w:hAnsi="Times New Roman" w:cs="Times New Roman"/>
        </w:rPr>
        <w:footnoteReference w:id="91"/>
      </w:r>
      <w:r w:rsidRPr="00163D0E">
        <w:rPr>
          <w:rFonts w:ascii="Times New Roman" w:hAnsi="Times New Roman" w:cs="Times New Roman"/>
        </w:rPr>
        <w:t>.</w:t>
      </w:r>
    </w:p>
    <w:p w:rsidRPr="00163D0E" w:rsidR="007302B4" w:rsidP="007302B4" w:rsidRDefault="007302B4" w14:paraId="69E37B12" w14:textId="77777777">
      <w:pPr>
        <w:pStyle w:val="ListParagraph"/>
        <w:rPr>
          <w:rFonts w:ascii="Times New Roman" w:hAnsi="Times New Roman" w:cs="Times New Roman"/>
        </w:rPr>
      </w:pPr>
    </w:p>
    <w:p w:rsidRPr="00163D0E" w:rsidR="007302B4" w:rsidP="007302B4" w:rsidRDefault="007302B4" w14:paraId="56F75778" w14:textId="6F863B6E">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t xml:space="preserve">The initial offers made were based on external inspections of all relevant properties, and a desk top analysis of available comparables from various sources, including </w:t>
      </w:r>
      <w:r w:rsidR="00216458">
        <w:rPr>
          <w:rFonts w:ascii="Times New Roman" w:hAnsi="Times New Roman" w:cs="Times New Roman"/>
        </w:rPr>
        <w:t xml:space="preserve">available </w:t>
      </w:r>
      <w:r w:rsidRPr="00163D0E">
        <w:rPr>
          <w:rFonts w:ascii="Times New Roman" w:hAnsi="Times New Roman" w:cs="Times New Roman"/>
        </w:rPr>
        <w:t xml:space="preserve">valuation reports, and evidence of market transactions from local agents and the </w:t>
      </w:r>
      <w:r w:rsidR="00216458">
        <w:rPr>
          <w:rFonts w:ascii="Times New Roman" w:hAnsi="Times New Roman" w:cs="Times New Roman"/>
        </w:rPr>
        <w:t>L</w:t>
      </w:r>
      <w:r w:rsidRPr="00163D0E">
        <w:rPr>
          <w:rFonts w:ascii="Times New Roman" w:hAnsi="Times New Roman" w:cs="Times New Roman"/>
        </w:rPr>
        <w:t xml:space="preserve">and </w:t>
      </w:r>
      <w:r w:rsidR="00216458">
        <w:rPr>
          <w:rFonts w:ascii="Times New Roman" w:hAnsi="Times New Roman" w:cs="Times New Roman"/>
        </w:rPr>
        <w:t>R</w:t>
      </w:r>
      <w:r w:rsidRPr="00163D0E">
        <w:rPr>
          <w:rFonts w:ascii="Times New Roman" w:hAnsi="Times New Roman" w:cs="Times New Roman"/>
        </w:rPr>
        <w:t>egistry. This information was provided to interested parties where requested.</w:t>
      </w:r>
      <w:r w:rsidRPr="00163D0E" w:rsidR="003A5E5E">
        <w:rPr>
          <w:rFonts w:ascii="Times New Roman" w:hAnsi="Times New Roman" w:cs="Times New Roman"/>
        </w:rPr>
        <w:t xml:space="preserve"> There were some instances where initial offers were accepted, indicating that initial valuations were appropriate and meaningful</w:t>
      </w:r>
      <w:r w:rsidRPr="00163D0E" w:rsidR="003A5E5E">
        <w:rPr>
          <w:rStyle w:val="FootnoteReference"/>
          <w:rFonts w:ascii="Times New Roman" w:hAnsi="Times New Roman" w:cs="Times New Roman"/>
        </w:rPr>
        <w:footnoteReference w:id="92"/>
      </w:r>
      <w:r w:rsidRPr="00163D0E" w:rsidR="003A5E5E">
        <w:rPr>
          <w:rFonts w:ascii="Times New Roman" w:hAnsi="Times New Roman" w:cs="Times New Roman"/>
        </w:rPr>
        <w:t>. In other cases, where parties wished to negotiate</w:t>
      </w:r>
      <w:r w:rsidR="00216458">
        <w:rPr>
          <w:rFonts w:ascii="Times New Roman" w:hAnsi="Times New Roman" w:cs="Times New Roman"/>
        </w:rPr>
        <w:t xml:space="preserve">, and </w:t>
      </w:r>
      <w:r w:rsidRPr="00163D0E" w:rsidR="003A5E5E">
        <w:rPr>
          <w:rFonts w:ascii="Times New Roman" w:hAnsi="Times New Roman" w:cs="Times New Roman"/>
        </w:rPr>
        <w:t xml:space="preserve">where more detailed information in relation to the property and its conditions became available </w:t>
      </w:r>
      <w:r w:rsidR="00216458">
        <w:rPr>
          <w:rFonts w:ascii="Times New Roman" w:hAnsi="Times New Roman" w:cs="Times New Roman"/>
        </w:rPr>
        <w:t>(</w:t>
      </w:r>
      <w:r w:rsidRPr="00163D0E" w:rsidR="003A5E5E">
        <w:rPr>
          <w:rFonts w:ascii="Times New Roman" w:hAnsi="Times New Roman" w:cs="Times New Roman"/>
        </w:rPr>
        <w:t>for example, where internal inspection was facilitated</w:t>
      </w:r>
      <w:r w:rsidR="00216458">
        <w:rPr>
          <w:rFonts w:ascii="Times New Roman" w:hAnsi="Times New Roman" w:cs="Times New Roman"/>
        </w:rPr>
        <w:t xml:space="preserve">), </w:t>
      </w:r>
      <w:r w:rsidRPr="00163D0E" w:rsidR="00216458">
        <w:rPr>
          <w:rFonts w:ascii="Times New Roman" w:hAnsi="Times New Roman" w:cs="Times New Roman"/>
        </w:rPr>
        <w:t xml:space="preserve">the Council </w:t>
      </w:r>
      <w:r w:rsidR="00CE0492">
        <w:rPr>
          <w:rFonts w:ascii="Times New Roman" w:hAnsi="Times New Roman" w:cs="Times New Roman"/>
        </w:rPr>
        <w:t xml:space="preserve">adjusted </w:t>
      </w:r>
      <w:r w:rsidRPr="00163D0E" w:rsidR="00216458">
        <w:rPr>
          <w:rFonts w:ascii="Times New Roman" w:hAnsi="Times New Roman" w:cs="Times New Roman"/>
        </w:rPr>
        <w:t>its view as to market value</w:t>
      </w:r>
      <w:r w:rsidR="00CE0492">
        <w:rPr>
          <w:rFonts w:ascii="Times New Roman" w:hAnsi="Times New Roman" w:cs="Times New Roman"/>
        </w:rPr>
        <w:t>, and agreement was reached on that basis</w:t>
      </w:r>
      <w:r w:rsidRPr="00163D0E" w:rsidR="003A5E5E">
        <w:rPr>
          <w:rFonts w:ascii="Times New Roman" w:hAnsi="Times New Roman" w:cs="Times New Roman"/>
        </w:rPr>
        <w:t xml:space="preserve">. </w:t>
      </w:r>
      <w:r w:rsidRPr="00163D0E" w:rsidR="0021096D">
        <w:rPr>
          <w:rFonts w:ascii="Times New Roman" w:hAnsi="Times New Roman" w:cs="Times New Roman"/>
        </w:rPr>
        <w:t xml:space="preserve">All offers made have been made in accordance with RICS </w:t>
      </w:r>
      <w:r w:rsidR="00216458">
        <w:rPr>
          <w:rFonts w:ascii="Times New Roman" w:hAnsi="Times New Roman" w:cs="Times New Roman"/>
        </w:rPr>
        <w:t>G</w:t>
      </w:r>
      <w:r w:rsidRPr="00163D0E" w:rsidR="0021096D">
        <w:rPr>
          <w:rFonts w:ascii="Times New Roman" w:hAnsi="Times New Roman" w:cs="Times New Roman"/>
        </w:rPr>
        <w:t>uidance and the CPO Compensation Code</w:t>
      </w:r>
      <w:r w:rsidR="00216458">
        <w:rPr>
          <w:rStyle w:val="FootnoteReference"/>
          <w:rFonts w:ascii="Times New Roman" w:hAnsi="Times New Roman" w:cs="Times New Roman"/>
        </w:rPr>
        <w:footnoteReference w:id="93"/>
      </w:r>
      <w:r w:rsidRPr="00163D0E" w:rsidR="0021096D">
        <w:rPr>
          <w:rFonts w:ascii="Times New Roman" w:hAnsi="Times New Roman" w:cs="Times New Roman"/>
        </w:rPr>
        <w:t>. Further, as set out below, special consideration has been given to mitigating the impact on those with protected characteristics, or where special or familial circumstances have warranted the same.</w:t>
      </w:r>
    </w:p>
    <w:p w:rsidRPr="00163D0E" w:rsidR="003A5E5E" w:rsidP="003A5E5E" w:rsidRDefault="003A5E5E" w14:paraId="0684A9C2" w14:textId="77777777">
      <w:pPr>
        <w:pStyle w:val="ListParagraph"/>
        <w:rPr>
          <w:rFonts w:ascii="Times New Roman" w:hAnsi="Times New Roman" w:cs="Times New Roman"/>
        </w:rPr>
      </w:pPr>
    </w:p>
    <w:p w:rsidRPr="00163D0E" w:rsidR="0021096D" w:rsidP="0021096D" w:rsidRDefault="003A5E5E" w14:paraId="133E6EC2" w14:textId="0BA2E9BE">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t xml:space="preserve">In March 2023, a </w:t>
      </w:r>
      <w:r w:rsidR="00216458">
        <w:rPr>
          <w:rFonts w:ascii="Times New Roman" w:hAnsi="Times New Roman" w:cs="Times New Roman"/>
        </w:rPr>
        <w:t>further letter was sent to affected parties,</w:t>
      </w:r>
      <w:r w:rsidRPr="00163D0E">
        <w:rPr>
          <w:rFonts w:ascii="Times New Roman" w:hAnsi="Times New Roman" w:cs="Times New Roman"/>
        </w:rPr>
        <w:t xml:space="preserve"> updating them as to the Council’s progress, offering support and inviting willing sellers to commence meaningful negotiations</w:t>
      </w:r>
      <w:r w:rsidRPr="00163D0E">
        <w:rPr>
          <w:rStyle w:val="FootnoteReference"/>
          <w:rFonts w:ascii="Times New Roman" w:hAnsi="Times New Roman" w:cs="Times New Roman"/>
        </w:rPr>
        <w:footnoteReference w:id="94"/>
      </w:r>
      <w:r w:rsidRPr="00163D0E">
        <w:rPr>
          <w:rFonts w:ascii="Times New Roman" w:hAnsi="Times New Roman" w:cs="Times New Roman"/>
        </w:rPr>
        <w:t>. On 4</w:t>
      </w:r>
      <w:r w:rsidRPr="00163D0E">
        <w:rPr>
          <w:rFonts w:ascii="Times New Roman" w:hAnsi="Times New Roman" w:cs="Times New Roman"/>
          <w:vertAlign w:val="superscript"/>
        </w:rPr>
        <w:t>th</w:t>
      </w:r>
      <w:r w:rsidRPr="00163D0E">
        <w:rPr>
          <w:rFonts w:ascii="Times New Roman" w:hAnsi="Times New Roman" w:cs="Times New Roman"/>
        </w:rPr>
        <w:t xml:space="preserve"> – 5</w:t>
      </w:r>
      <w:r w:rsidRPr="00163D0E">
        <w:rPr>
          <w:rFonts w:ascii="Times New Roman" w:hAnsi="Times New Roman" w:cs="Times New Roman"/>
          <w:vertAlign w:val="superscript"/>
        </w:rPr>
        <w:t>th</w:t>
      </w:r>
      <w:r w:rsidRPr="00163D0E">
        <w:rPr>
          <w:rFonts w:ascii="Times New Roman" w:hAnsi="Times New Roman" w:cs="Times New Roman"/>
        </w:rPr>
        <w:t xml:space="preserve"> April 2023, </w:t>
      </w:r>
      <w:proofErr w:type="gramStart"/>
      <w:r w:rsidRPr="00163D0E">
        <w:rPr>
          <w:rFonts w:ascii="Times New Roman" w:hAnsi="Times New Roman" w:cs="Times New Roman"/>
        </w:rPr>
        <w:t>in an effort to</w:t>
      </w:r>
      <w:proofErr w:type="gramEnd"/>
      <w:r w:rsidRPr="00163D0E">
        <w:rPr>
          <w:rFonts w:ascii="Times New Roman" w:hAnsi="Times New Roman" w:cs="Times New Roman"/>
        </w:rPr>
        <w:t xml:space="preserve"> facilitate a greater understanding of the process and provide enhanced support, the Council </w:t>
      </w:r>
      <w:r w:rsidR="00216458">
        <w:rPr>
          <w:rFonts w:ascii="Times New Roman" w:hAnsi="Times New Roman" w:cs="Times New Roman"/>
        </w:rPr>
        <w:t>hosted an</w:t>
      </w:r>
      <w:r w:rsidRPr="00163D0E">
        <w:rPr>
          <w:rFonts w:ascii="Times New Roman" w:hAnsi="Times New Roman" w:cs="Times New Roman"/>
        </w:rPr>
        <w:t xml:space="preserve"> event</w:t>
      </w:r>
      <w:r w:rsidR="00216458">
        <w:rPr>
          <w:rFonts w:ascii="Times New Roman" w:hAnsi="Times New Roman" w:cs="Times New Roman"/>
        </w:rPr>
        <w:t xml:space="preserve"> and opportunity to meet the </w:t>
      </w:r>
      <w:r w:rsidRPr="00163D0E">
        <w:rPr>
          <w:rFonts w:ascii="Times New Roman" w:hAnsi="Times New Roman" w:cs="Times New Roman"/>
        </w:rPr>
        <w:t xml:space="preserve">acquisition team in person. </w:t>
      </w:r>
      <w:r w:rsidR="00216458">
        <w:rPr>
          <w:rFonts w:ascii="Times New Roman" w:hAnsi="Times New Roman" w:cs="Times New Roman"/>
        </w:rPr>
        <w:t>At the Council’s expense,</w:t>
      </w:r>
      <w:r w:rsidRPr="00163D0E">
        <w:rPr>
          <w:rFonts w:ascii="Times New Roman" w:hAnsi="Times New Roman" w:cs="Times New Roman"/>
        </w:rPr>
        <w:t xml:space="preserve"> a local surveyor </w:t>
      </w:r>
      <w:r w:rsidR="00216458">
        <w:rPr>
          <w:rFonts w:ascii="Times New Roman" w:hAnsi="Times New Roman" w:cs="Times New Roman"/>
        </w:rPr>
        <w:t>was made available to</w:t>
      </w:r>
      <w:r w:rsidRPr="00163D0E">
        <w:rPr>
          <w:rFonts w:ascii="Times New Roman" w:hAnsi="Times New Roman" w:cs="Times New Roman"/>
        </w:rPr>
        <w:t xml:space="preserve"> provide independent advice </w:t>
      </w:r>
      <w:r w:rsidR="00216458">
        <w:rPr>
          <w:rFonts w:ascii="Times New Roman" w:hAnsi="Times New Roman" w:cs="Times New Roman"/>
        </w:rPr>
        <w:t xml:space="preserve">to </w:t>
      </w:r>
      <w:r w:rsidR="00216458">
        <w:rPr>
          <w:rFonts w:ascii="Times New Roman" w:hAnsi="Times New Roman" w:cs="Times New Roman"/>
        </w:rPr>
        <w:lastRenderedPageBreak/>
        <w:t>interested parties</w:t>
      </w:r>
      <w:r w:rsidRPr="00163D0E">
        <w:rPr>
          <w:rFonts w:ascii="Times New Roman" w:hAnsi="Times New Roman" w:cs="Times New Roman"/>
        </w:rPr>
        <w:t xml:space="preserve">. Agreement was reached with </w:t>
      </w:r>
      <w:proofErr w:type="gramStart"/>
      <w:r w:rsidR="00216458">
        <w:rPr>
          <w:rFonts w:ascii="Times New Roman" w:hAnsi="Times New Roman" w:cs="Times New Roman"/>
        </w:rPr>
        <w:t>the majority of</w:t>
      </w:r>
      <w:proofErr w:type="gramEnd"/>
      <w:r w:rsidR="00216458">
        <w:rPr>
          <w:rFonts w:ascii="Times New Roman" w:hAnsi="Times New Roman" w:cs="Times New Roman"/>
        </w:rPr>
        <w:t xml:space="preserve"> attendees by the end of the event</w:t>
      </w:r>
      <w:r w:rsidRPr="00163D0E" w:rsidR="0021096D">
        <w:rPr>
          <w:rStyle w:val="FootnoteReference"/>
          <w:rFonts w:ascii="Times New Roman" w:hAnsi="Times New Roman" w:cs="Times New Roman"/>
        </w:rPr>
        <w:footnoteReference w:id="95"/>
      </w:r>
      <w:r w:rsidRPr="00163D0E">
        <w:rPr>
          <w:rFonts w:ascii="Times New Roman" w:hAnsi="Times New Roman" w:cs="Times New Roman"/>
        </w:rPr>
        <w:t xml:space="preserve">. </w:t>
      </w:r>
    </w:p>
    <w:p w:rsidRPr="00163D0E" w:rsidR="0021096D" w:rsidP="0021096D" w:rsidRDefault="0021096D" w14:paraId="4629E856" w14:textId="77777777">
      <w:pPr>
        <w:pStyle w:val="ListParagraph"/>
        <w:rPr>
          <w:rFonts w:ascii="Times New Roman" w:hAnsi="Times New Roman" w:cs="Times New Roman"/>
        </w:rPr>
      </w:pPr>
    </w:p>
    <w:p w:rsidRPr="00163D0E" w:rsidR="0021096D" w:rsidP="0021096D" w:rsidRDefault="0021096D" w14:paraId="2C88B2C1" w14:textId="09915F57">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t>The Council’s efforts have been extensive. Where there was no contact made following the issuing of letters and the events described above, personal visits were made to properties to initiate contact. In respect of one party that was</w:t>
      </w:r>
      <w:r w:rsidR="00216458">
        <w:rPr>
          <w:rFonts w:ascii="Times New Roman" w:hAnsi="Times New Roman" w:cs="Times New Roman"/>
        </w:rPr>
        <w:t xml:space="preserve"> initially</w:t>
      </w:r>
      <w:r w:rsidRPr="00163D0E">
        <w:rPr>
          <w:rFonts w:ascii="Times New Roman" w:hAnsi="Times New Roman" w:cs="Times New Roman"/>
        </w:rPr>
        <w:t xml:space="preserve"> uncontactable, the Council employed tracing agents, </w:t>
      </w:r>
      <w:r w:rsidR="00216458">
        <w:rPr>
          <w:rFonts w:ascii="Times New Roman" w:hAnsi="Times New Roman" w:cs="Times New Roman"/>
        </w:rPr>
        <w:t>the party was traced to</w:t>
      </w:r>
      <w:r w:rsidRPr="00163D0E">
        <w:rPr>
          <w:rFonts w:ascii="Times New Roman" w:hAnsi="Times New Roman" w:cs="Times New Roman"/>
        </w:rPr>
        <w:t xml:space="preserve"> the Netherlands, and acquisition was subsequently agreed</w:t>
      </w:r>
      <w:r w:rsidRPr="00163D0E">
        <w:rPr>
          <w:rStyle w:val="FootnoteReference"/>
          <w:rFonts w:ascii="Times New Roman" w:hAnsi="Times New Roman" w:cs="Times New Roman"/>
        </w:rPr>
        <w:footnoteReference w:id="96"/>
      </w:r>
      <w:r w:rsidRPr="00163D0E">
        <w:rPr>
          <w:rFonts w:ascii="Times New Roman" w:hAnsi="Times New Roman" w:cs="Times New Roman"/>
        </w:rPr>
        <w:t xml:space="preserve">. </w:t>
      </w:r>
    </w:p>
    <w:p w:rsidRPr="00163D0E" w:rsidR="0021096D" w:rsidP="0021096D" w:rsidRDefault="0021096D" w14:paraId="522A1D1B" w14:textId="77777777">
      <w:pPr>
        <w:pStyle w:val="ListParagraph"/>
        <w:rPr>
          <w:rFonts w:ascii="Times New Roman" w:hAnsi="Times New Roman" w:cs="Times New Roman"/>
        </w:rPr>
      </w:pPr>
    </w:p>
    <w:p w:rsidRPr="00163D0E" w:rsidR="003A5E5E" w:rsidP="0021096D" w:rsidRDefault="0021096D" w14:paraId="5C739268" w14:textId="2249E292">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t xml:space="preserve">Meaningful negotiations have continued </w:t>
      </w:r>
      <w:r w:rsidR="00216458">
        <w:rPr>
          <w:rFonts w:ascii="Times New Roman" w:hAnsi="Times New Roman" w:cs="Times New Roman"/>
        </w:rPr>
        <w:t>throughout the process</w:t>
      </w:r>
      <w:r w:rsidRPr="00163D0E">
        <w:rPr>
          <w:rFonts w:ascii="Times New Roman" w:hAnsi="Times New Roman" w:cs="Times New Roman"/>
        </w:rPr>
        <w:t xml:space="preserve">. Each individual property was allocated a dedicated case officer, so that a named </w:t>
      </w:r>
      <w:r w:rsidR="00CE0492">
        <w:rPr>
          <w:rFonts w:ascii="Times New Roman" w:hAnsi="Times New Roman" w:cs="Times New Roman"/>
        </w:rPr>
        <w:t>person</w:t>
      </w:r>
      <w:r w:rsidRPr="00163D0E">
        <w:rPr>
          <w:rFonts w:ascii="Times New Roman" w:hAnsi="Times New Roman" w:cs="Times New Roman"/>
        </w:rPr>
        <w:t>, email address and phone number could be provided</w:t>
      </w:r>
      <w:r w:rsidR="00CE0492">
        <w:rPr>
          <w:rFonts w:ascii="Times New Roman" w:hAnsi="Times New Roman" w:cs="Times New Roman"/>
        </w:rPr>
        <w:t xml:space="preserve"> to each person affected</w:t>
      </w:r>
      <w:r w:rsidRPr="00163D0E">
        <w:rPr>
          <w:rFonts w:ascii="Times New Roman" w:hAnsi="Times New Roman" w:cs="Times New Roman"/>
        </w:rPr>
        <w:t>. All interests were reviewed on a weekly basi</w:t>
      </w:r>
      <w:r w:rsidR="00216458">
        <w:rPr>
          <w:rFonts w:ascii="Times New Roman" w:hAnsi="Times New Roman" w:cs="Times New Roman"/>
        </w:rPr>
        <w:t xml:space="preserve">s so that the </w:t>
      </w:r>
      <w:r w:rsidRPr="00163D0E">
        <w:rPr>
          <w:rFonts w:ascii="Times New Roman" w:hAnsi="Times New Roman" w:cs="Times New Roman"/>
        </w:rPr>
        <w:t xml:space="preserve">Council’s position in respect of market value and disturbance payments </w:t>
      </w:r>
      <w:r w:rsidR="00216458">
        <w:rPr>
          <w:rFonts w:ascii="Times New Roman" w:hAnsi="Times New Roman" w:cs="Times New Roman"/>
        </w:rPr>
        <w:t>could be</w:t>
      </w:r>
      <w:r w:rsidRPr="00163D0E">
        <w:rPr>
          <w:rFonts w:ascii="Times New Roman" w:hAnsi="Times New Roman" w:cs="Times New Roman"/>
        </w:rPr>
        <w:t xml:space="preserve"> kept up to date</w:t>
      </w:r>
      <w:r w:rsidRPr="00163D0E">
        <w:rPr>
          <w:rStyle w:val="FootnoteReference"/>
          <w:rFonts w:ascii="Times New Roman" w:hAnsi="Times New Roman" w:cs="Times New Roman"/>
        </w:rPr>
        <w:footnoteReference w:id="97"/>
      </w:r>
      <w:r w:rsidRPr="00163D0E">
        <w:rPr>
          <w:rFonts w:ascii="Times New Roman" w:hAnsi="Times New Roman" w:cs="Times New Roman"/>
        </w:rPr>
        <w:t xml:space="preserve">. </w:t>
      </w:r>
    </w:p>
    <w:p w:rsidRPr="00163D0E" w:rsidR="0021096D" w:rsidP="0021096D" w:rsidRDefault="0021096D" w14:paraId="78E05D5A" w14:textId="77777777">
      <w:pPr>
        <w:pStyle w:val="ListParagraph"/>
        <w:rPr>
          <w:rFonts w:ascii="Times New Roman" w:hAnsi="Times New Roman" w:cs="Times New Roman"/>
        </w:rPr>
      </w:pPr>
    </w:p>
    <w:p w:rsidRPr="00163D0E" w:rsidR="00D0447A" w:rsidP="0021096D" w:rsidRDefault="003A5E5E" w14:paraId="4D40B797" w14:textId="7D201F3C">
      <w:pPr>
        <w:pStyle w:val="ListParagraph"/>
        <w:numPr>
          <w:ilvl w:val="0"/>
          <w:numId w:val="1"/>
        </w:numPr>
        <w:spacing w:line="360" w:lineRule="auto"/>
        <w:ind w:left="714" w:hanging="357"/>
        <w:rPr>
          <w:rFonts w:ascii="Times New Roman" w:hAnsi="Times New Roman" w:cs="Times New Roman"/>
        </w:rPr>
      </w:pPr>
      <w:proofErr w:type="gramStart"/>
      <w:r w:rsidRPr="00163D0E">
        <w:rPr>
          <w:rFonts w:ascii="Times New Roman" w:hAnsi="Times New Roman" w:cs="Times New Roman"/>
        </w:rPr>
        <w:t>In order to</w:t>
      </w:r>
      <w:proofErr w:type="gramEnd"/>
      <w:r w:rsidRPr="00163D0E">
        <w:rPr>
          <w:rFonts w:ascii="Times New Roman" w:hAnsi="Times New Roman" w:cs="Times New Roman"/>
        </w:rPr>
        <w:t xml:space="preserve"> progress negotiation, to mitigate the impact on affected individuals </w:t>
      </w:r>
      <w:r w:rsidR="00216458">
        <w:rPr>
          <w:rFonts w:ascii="Times New Roman" w:hAnsi="Times New Roman" w:cs="Times New Roman"/>
        </w:rPr>
        <w:t xml:space="preserve">and to account for the extent of deprivation in the local area, </w:t>
      </w:r>
      <w:r w:rsidRPr="00163D0E">
        <w:rPr>
          <w:rFonts w:ascii="Times New Roman" w:hAnsi="Times New Roman" w:cs="Times New Roman"/>
        </w:rPr>
        <w:t>the Council took a flexible approach to the way in which it structured agreement</w:t>
      </w:r>
      <w:r w:rsidR="00216458">
        <w:rPr>
          <w:rFonts w:ascii="Times New Roman" w:hAnsi="Times New Roman" w:cs="Times New Roman"/>
        </w:rPr>
        <w:t>s</w:t>
      </w:r>
      <w:r w:rsidRPr="00163D0E">
        <w:rPr>
          <w:rFonts w:ascii="Times New Roman" w:hAnsi="Times New Roman" w:cs="Times New Roman"/>
        </w:rPr>
        <w:t xml:space="preserve">. For example, </w:t>
      </w:r>
      <w:r w:rsidRPr="00163D0E" w:rsidR="0021096D">
        <w:rPr>
          <w:rFonts w:ascii="Times New Roman" w:hAnsi="Times New Roman" w:cs="Times New Roman"/>
        </w:rPr>
        <w:t xml:space="preserve">fees </w:t>
      </w:r>
      <w:r w:rsidR="00216458">
        <w:rPr>
          <w:rFonts w:ascii="Times New Roman" w:hAnsi="Times New Roman" w:cs="Times New Roman"/>
        </w:rPr>
        <w:t>were paid early to</w:t>
      </w:r>
      <w:r w:rsidRPr="00163D0E" w:rsidR="0021096D">
        <w:rPr>
          <w:rFonts w:ascii="Times New Roman" w:hAnsi="Times New Roman" w:cs="Times New Roman"/>
        </w:rPr>
        <w:t xml:space="preserve"> representatives </w:t>
      </w:r>
      <w:r w:rsidR="00216458">
        <w:rPr>
          <w:rFonts w:ascii="Times New Roman" w:hAnsi="Times New Roman" w:cs="Times New Roman"/>
        </w:rPr>
        <w:t>to ensure affected parties could access the advice and representation they</w:t>
      </w:r>
      <w:r w:rsidRPr="00163D0E" w:rsidR="0021096D">
        <w:rPr>
          <w:rFonts w:ascii="Times New Roman" w:hAnsi="Times New Roman" w:cs="Times New Roman"/>
        </w:rPr>
        <w:t xml:space="preserve"> required</w:t>
      </w:r>
      <w:r w:rsidR="00216458">
        <w:rPr>
          <w:rFonts w:ascii="Times New Roman" w:hAnsi="Times New Roman" w:cs="Times New Roman"/>
        </w:rPr>
        <w:t>. Accelerated and early h</w:t>
      </w:r>
      <w:r w:rsidRPr="00163D0E" w:rsidR="0021096D">
        <w:rPr>
          <w:rFonts w:ascii="Times New Roman" w:hAnsi="Times New Roman" w:cs="Times New Roman"/>
        </w:rPr>
        <w:t>ome loss payments</w:t>
      </w:r>
      <w:r w:rsidR="00216458">
        <w:rPr>
          <w:rFonts w:ascii="Times New Roman" w:hAnsi="Times New Roman" w:cs="Times New Roman"/>
        </w:rPr>
        <w:t xml:space="preserve"> have been made,</w:t>
      </w:r>
      <w:r w:rsidRPr="00163D0E" w:rsidR="0021096D">
        <w:rPr>
          <w:rFonts w:ascii="Times New Roman" w:hAnsi="Times New Roman" w:cs="Times New Roman"/>
        </w:rPr>
        <w:t xml:space="preserve"> to assist in facilitating </w:t>
      </w:r>
      <w:r w:rsidR="00216458">
        <w:rPr>
          <w:rFonts w:ascii="Times New Roman" w:hAnsi="Times New Roman" w:cs="Times New Roman"/>
        </w:rPr>
        <w:t>relocations</w:t>
      </w:r>
      <w:r w:rsidRPr="00163D0E" w:rsidR="0021096D">
        <w:rPr>
          <w:rFonts w:ascii="Times New Roman" w:hAnsi="Times New Roman" w:cs="Times New Roman"/>
        </w:rPr>
        <w:t xml:space="preserve">. </w:t>
      </w:r>
      <w:r w:rsidR="00216458">
        <w:rPr>
          <w:rFonts w:ascii="Times New Roman" w:hAnsi="Times New Roman" w:cs="Times New Roman"/>
        </w:rPr>
        <w:t>Money</w:t>
      </w:r>
      <w:r w:rsidRPr="00163D0E" w:rsidR="0021096D">
        <w:rPr>
          <w:rFonts w:ascii="Times New Roman" w:hAnsi="Times New Roman" w:cs="Times New Roman"/>
        </w:rPr>
        <w:t xml:space="preserve"> has been released early to allow tenants to fund </w:t>
      </w:r>
      <w:r w:rsidR="00216458">
        <w:rPr>
          <w:rFonts w:ascii="Times New Roman" w:hAnsi="Times New Roman" w:cs="Times New Roman"/>
        </w:rPr>
        <w:t>bonds. Advances</w:t>
      </w:r>
      <w:r w:rsidRPr="00163D0E" w:rsidR="0021096D">
        <w:rPr>
          <w:rFonts w:ascii="Times New Roman" w:hAnsi="Times New Roman" w:cs="Times New Roman"/>
        </w:rPr>
        <w:t xml:space="preserve"> on funds</w:t>
      </w:r>
      <w:r w:rsidR="00D77B97">
        <w:rPr>
          <w:rFonts w:ascii="Times New Roman" w:hAnsi="Times New Roman" w:cs="Times New Roman"/>
        </w:rPr>
        <w:t>,</w:t>
      </w:r>
      <w:r w:rsidRPr="00163D0E" w:rsidR="0021096D">
        <w:rPr>
          <w:rFonts w:ascii="Times New Roman" w:hAnsi="Times New Roman" w:cs="Times New Roman"/>
        </w:rPr>
        <w:t xml:space="preserve"> and proof of funds</w:t>
      </w:r>
      <w:r w:rsidR="00D77B97">
        <w:rPr>
          <w:rFonts w:ascii="Times New Roman" w:hAnsi="Times New Roman" w:cs="Times New Roman"/>
        </w:rPr>
        <w:t xml:space="preserve"> letters</w:t>
      </w:r>
      <w:r w:rsidRPr="00163D0E" w:rsidR="0021096D">
        <w:rPr>
          <w:rFonts w:ascii="Times New Roman" w:hAnsi="Times New Roman" w:cs="Times New Roman"/>
        </w:rPr>
        <w:t xml:space="preserve"> ha</w:t>
      </w:r>
      <w:r w:rsidR="00216458">
        <w:rPr>
          <w:rFonts w:ascii="Times New Roman" w:hAnsi="Times New Roman" w:cs="Times New Roman"/>
        </w:rPr>
        <w:t>ve</w:t>
      </w:r>
      <w:r w:rsidRPr="00163D0E" w:rsidR="0021096D">
        <w:rPr>
          <w:rFonts w:ascii="Times New Roman" w:hAnsi="Times New Roman" w:cs="Times New Roman"/>
        </w:rPr>
        <w:t xml:space="preserve"> been provided </w:t>
      </w:r>
      <w:r w:rsidR="00D77B97">
        <w:rPr>
          <w:rFonts w:ascii="Times New Roman" w:hAnsi="Times New Roman" w:cs="Times New Roman"/>
        </w:rPr>
        <w:t xml:space="preserve">by the Council </w:t>
      </w:r>
      <w:r w:rsidRPr="00163D0E" w:rsidR="0021096D">
        <w:rPr>
          <w:rFonts w:ascii="Times New Roman" w:hAnsi="Times New Roman" w:cs="Times New Roman"/>
        </w:rPr>
        <w:t>to assist</w:t>
      </w:r>
      <w:r w:rsidR="00D77B97">
        <w:rPr>
          <w:rFonts w:ascii="Times New Roman" w:hAnsi="Times New Roman" w:cs="Times New Roman"/>
        </w:rPr>
        <w:t xml:space="preserve"> owners in making offers for their new home, effectively confirming the source of funding was via the Council, which would make offers more acceptable to agents/sellers. </w:t>
      </w:r>
      <w:r w:rsidRPr="00163D0E" w:rsidR="0021096D">
        <w:rPr>
          <w:rFonts w:ascii="Times New Roman" w:hAnsi="Times New Roman" w:cs="Times New Roman"/>
        </w:rPr>
        <w:t xml:space="preserve"> Where affected parties have had protected characteristics and adaptations have been required to new properties, this has been addressed through </w:t>
      </w:r>
      <w:r w:rsidR="00CE0492">
        <w:rPr>
          <w:rFonts w:ascii="Times New Roman" w:hAnsi="Times New Roman" w:cs="Times New Roman"/>
        </w:rPr>
        <w:t xml:space="preserve">the early payment of </w:t>
      </w:r>
      <w:r w:rsidRPr="00163D0E" w:rsidR="0021096D">
        <w:rPr>
          <w:rFonts w:ascii="Times New Roman" w:hAnsi="Times New Roman" w:cs="Times New Roman"/>
        </w:rPr>
        <w:t>disturbance payments. Where special circumstances have arisen and interested parties/families have required longer to vacate, this has been accommodated in the agreements reached</w:t>
      </w:r>
      <w:r w:rsidRPr="00163D0E" w:rsidR="0021096D">
        <w:rPr>
          <w:rStyle w:val="FootnoteReference"/>
          <w:rFonts w:ascii="Times New Roman" w:hAnsi="Times New Roman" w:cs="Times New Roman"/>
        </w:rPr>
        <w:footnoteReference w:id="98"/>
      </w:r>
      <w:r w:rsidRPr="00163D0E" w:rsidR="0021096D">
        <w:rPr>
          <w:rFonts w:ascii="Times New Roman" w:hAnsi="Times New Roman" w:cs="Times New Roman"/>
        </w:rPr>
        <w:t xml:space="preserve">. </w:t>
      </w:r>
      <w:r w:rsidRPr="00163D0E" w:rsidR="00594F05">
        <w:rPr>
          <w:rFonts w:ascii="Times New Roman" w:hAnsi="Times New Roman" w:cs="Times New Roman"/>
        </w:rPr>
        <w:t>In accordance with paragraph 2.5 and 13.4 of the CPO guidance, the Council has considered the interests of those affected by the Order</w:t>
      </w:r>
      <w:r w:rsidR="00253FCD">
        <w:rPr>
          <w:rFonts w:ascii="Times New Roman" w:hAnsi="Times New Roman" w:cs="Times New Roman"/>
        </w:rPr>
        <w:t xml:space="preserve"> </w:t>
      </w:r>
      <w:r w:rsidRPr="00163D0E" w:rsidR="00594F05">
        <w:rPr>
          <w:rFonts w:ascii="Times New Roman" w:hAnsi="Times New Roman" w:cs="Times New Roman"/>
        </w:rPr>
        <w:t xml:space="preserve">and has put in place mitigation measures to deal with </w:t>
      </w:r>
      <w:r w:rsidRPr="00163D0E" w:rsidR="00594F05">
        <w:rPr>
          <w:rFonts w:ascii="Times New Roman" w:hAnsi="Times New Roman" w:cs="Times New Roman"/>
        </w:rPr>
        <w:lastRenderedPageBreak/>
        <w:t>identified issues.</w:t>
      </w:r>
      <w:r w:rsidR="00253FCD">
        <w:rPr>
          <w:rFonts w:ascii="Times New Roman" w:hAnsi="Times New Roman" w:cs="Times New Roman"/>
        </w:rPr>
        <w:t xml:space="preserve"> </w:t>
      </w:r>
      <w:r w:rsidR="00CE0492">
        <w:rPr>
          <w:rFonts w:ascii="Times New Roman" w:hAnsi="Times New Roman" w:cs="Times New Roman"/>
        </w:rPr>
        <w:t>It has also had regard to any</w:t>
      </w:r>
      <w:r w:rsidR="0007427B">
        <w:rPr>
          <w:rFonts w:ascii="Times New Roman" w:hAnsi="Times New Roman" w:cs="Times New Roman"/>
        </w:rPr>
        <w:t xml:space="preserve"> potential</w:t>
      </w:r>
      <w:r w:rsidR="00CE0492">
        <w:rPr>
          <w:rFonts w:ascii="Times New Roman" w:hAnsi="Times New Roman" w:cs="Times New Roman"/>
        </w:rPr>
        <w:t xml:space="preserve"> differential impacts that might occur in relation to those with protected characteristics, and sought to address the same, through the measures above (6.1 – 6.2 CPO Guidance).</w:t>
      </w:r>
    </w:p>
    <w:p w:rsidRPr="00163D0E" w:rsidR="00D0447A" w:rsidP="00D0447A" w:rsidRDefault="00D0447A" w14:paraId="46CFEC41" w14:textId="77777777">
      <w:pPr>
        <w:pStyle w:val="ListParagraph"/>
        <w:rPr>
          <w:rFonts w:ascii="Times New Roman" w:hAnsi="Times New Roman" w:cs="Times New Roman"/>
        </w:rPr>
      </w:pPr>
    </w:p>
    <w:p w:rsidRPr="00163D0E" w:rsidR="003A5E5E" w:rsidP="0021096D" w:rsidRDefault="00D0447A" w14:paraId="074E287A" w14:textId="27CE7F63">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t xml:space="preserve">In short, the engagement has been extensive, and it has been significant. In the memorable words of Mr. Yakub, the Council </w:t>
      </w:r>
      <w:r w:rsidR="00CE0492">
        <w:rPr>
          <w:rFonts w:ascii="Times New Roman" w:hAnsi="Times New Roman" w:cs="Times New Roman"/>
        </w:rPr>
        <w:t>wants</w:t>
      </w:r>
      <w:r w:rsidRPr="00163D0E">
        <w:rPr>
          <w:rFonts w:ascii="Times New Roman" w:hAnsi="Times New Roman" w:cs="Times New Roman"/>
        </w:rPr>
        <w:t xml:space="preserve"> affected parties to have certainty as to the location of their next home and has worked tirelessly to facilitate this for them so that the impact of the CPO on them is mitigated.</w:t>
      </w:r>
      <w:r w:rsidRPr="00163D0E" w:rsidR="00227556">
        <w:rPr>
          <w:rFonts w:ascii="Times New Roman" w:hAnsi="Times New Roman" w:cs="Times New Roman"/>
        </w:rPr>
        <w:t xml:space="preserve"> </w:t>
      </w:r>
    </w:p>
    <w:p w:rsidRPr="00163D0E" w:rsidR="00D0447A" w:rsidP="00D0447A" w:rsidRDefault="00D0447A" w14:paraId="3DCF6015" w14:textId="77777777">
      <w:pPr>
        <w:pStyle w:val="ListParagraph"/>
        <w:rPr>
          <w:rFonts w:ascii="Times New Roman" w:hAnsi="Times New Roman" w:cs="Times New Roman"/>
        </w:rPr>
      </w:pPr>
    </w:p>
    <w:p w:rsidRPr="00163D0E" w:rsidR="00D0447A" w:rsidP="0021096D" w:rsidRDefault="00D0447A" w14:paraId="7817A2D9" w14:textId="29DC031F">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t>Th</w:t>
      </w:r>
      <w:r w:rsidRPr="00163D0E" w:rsidR="001D45DB">
        <w:rPr>
          <w:rFonts w:ascii="Times New Roman" w:hAnsi="Times New Roman" w:cs="Times New Roman"/>
        </w:rPr>
        <w:t xml:space="preserve">e extensive engagement process referred to above has been complemented by the important work carried out by the Infusion team, as set out in the </w:t>
      </w:r>
      <w:r w:rsidR="00CE0492">
        <w:rPr>
          <w:rFonts w:ascii="Times New Roman" w:hAnsi="Times New Roman" w:cs="Times New Roman"/>
        </w:rPr>
        <w:t xml:space="preserve">written and oral </w:t>
      </w:r>
      <w:r w:rsidRPr="00163D0E" w:rsidR="001D45DB">
        <w:rPr>
          <w:rFonts w:ascii="Times New Roman" w:hAnsi="Times New Roman" w:cs="Times New Roman"/>
        </w:rPr>
        <w:t>evidence of Ms. Aldridge (“KA”).</w:t>
      </w:r>
    </w:p>
    <w:p w:rsidRPr="00163D0E" w:rsidR="001D45DB" w:rsidP="001D45DB" w:rsidRDefault="001D45DB" w14:paraId="41CF25BB" w14:textId="77777777">
      <w:pPr>
        <w:pStyle w:val="ListParagraph"/>
        <w:rPr>
          <w:rFonts w:ascii="Times New Roman" w:hAnsi="Times New Roman" w:cs="Times New Roman"/>
        </w:rPr>
      </w:pPr>
    </w:p>
    <w:p w:rsidRPr="00163D0E" w:rsidR="001D45DB" w:rsidP="0021096D" w:rsidRDefault="001D45DB" w14:paraId="3505FD32" w14:textId="4457721E">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t xml:space="preserve">Prior to making the Order, in February 2023, Local </w:t>
      </w:r>
      <w:r w:rsidR="00257363">
        <w:rPr>
          <w:rFonts w:ascii="Times New Roman" w:hAnsi="Times New Roman" w:cs="Times New Roman"/>
        </w:rPr>
        <w:t xml:space="preserve">Ward </w:t>
      </w:r>
      <w:r w:rsidRPr="00163D0E">
        <w:rPr>
          <w:rFonts w:ascii="Times New Roman" w:hAnsi="Times New Roman" w:cs="Times New Roman"/>
        </w:rPr>
        <w:t>Members were keen to ensure that measures were put in place to ensure that communication was effective, and that tailored support was available to those that might be affected by the CPO process. The Infusion team was engaged to draw up a programme of actions to deliver the same</w:t>
      </w:r>
      <w:r w:rsidRPr="00163D0E">
        <w:rPr>
          <w:rStyle w:val="FootnoteReference"/>
          <w:rFonts w:ascii="Times New Roman" w:hAnsi="Times New Roman" w:cs="Times New Roman"/>
        </w:rPr>
        <w:footnoteReference w:id="99"/>
      </w:r>
      <w:r w:rsidRPr="00163D0E">
        <w:rPr>
          <w:rFonts w:ascii="Times New Roman" w:hAnsi="Times New Roman" w:cs="Times New Roman"/>
        </w:rPr>
        <w:t xml:space="preserve">. </w:t>
      </w:r>
    </w:p>
    <w:p w:rsidRPr="00163D0E" w:rsidR="001D45DB" w:rsidP="001D45DB" w:rsidRDefault="001D45DB" w14:paraId="452F0755" w14:textId="77777777">
      <w:pPr>
        <w:pStyle w:val="ListParagraph"/>
        <w:rPr>
          <w:rFonts w:ascii="Times New Roman" w:hAnsi="Times New Roman" w:cs="Times New Roman"/>
        </w:rPr>
      </w:pPr>
    </w:p>
    <w:p w:rsidRPr="00163D0E" w:rsidR="001D45DB" w:rsidP="0021096D" w:rsidRDefault="001D45DB" w14:paraId="22C39B71" w14:textId="734B0C81">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t>The Infusion team has sought to engage effectively</w:t>
      </w:r>
      <w:r w:rsidR="00CE0492">
        <w:rPr>
          <w:rFonts w:ascii="Times New Roman" w:hAnsi="Times New Roman" w:cs="Times New Roman"/>
        </w:rPr>
        <w:t xml:space="preserve"> with</w:t>
      </w:r>
      <w:r w:rsidRPr="00163D0E">
        <w:rPr>
          <w:rFonts w:ascii="Times New Roman" w:hAnsi="Times New Roman" w:cs="Times New Roman"/>
        </w:rPr>
        <w:t xml:space="preserve">, and </w:t>
      </w:r>
      <w:r w:rsidR="00216458">
        <w:rPr>
          <w:rFonts w:ascii="Times New Roman" w:hAnsi="Times New Roman" w:cs="Times New Roman"/>
        </w:rPr>
        <w:t xml:space="preserve">to </w:t>
      </w:r>
      <w:r w:rsidRPr="00163D0E">
        <w:rPr>
          <w:rFonts w:ascii="Times New Roman" w:hAnsi="Times New Roman" w:cs="Times New Roman"/>
        </w:rPr>
        <w:t xml:space="preserve">support, all those affected parties that wish to be supported. </w:t>
      </w:r>
      <w:r w:rsidR="00216458">
        <w:rPr>
          <w:rFonts w:ascii="Times New Roman" w:hAnsi="Times New Roman" w:cs="Times New Roman"/>
        </w:rPr>
        <w:t>Extensive efforts have been made to ensure affected parties are aware of the support on offer: L</w:t>
      </w:r>
      <w:r w:rsidRPr="00163D0E">
        <w:rPr>
          <w:rFonts w:ascii="Times New Roman" w:hAnsi="Times New Roman" w:cs="Times New Roman"/>
        </w:rPr>
        <w:t>etters have been hand delivered to properties</w:t>
      </w:r>
      <w:r w:rsidRPr="00163D0E">
        <w:rPr>
          <w:rStyle w:val="FootnoteReference"/>
          <w:rFonts w:ascii="Times New Roman" w:hAnsi="Times New Roman" w:cs="Times New Roman"/>
        </w:rPr>
        <w:footnoteReference w:id="100"/>
      </w:r>
      <w:r w:rsidR="00216458">
        <w:rPr>
          <w:rFonts w:ascii="Times New Roman" w:hAnsi="Times New Roman" w:cs="Times New Roman"/>
        </w:rPr>
        <w:t xml:space="preserve">; </w:t>
      </w:r>
      <w:r w:rsidRPr="00163D0E">
        <w:rPr>
          <w:rFonts w:ascii="Times New Roman" w:hAnsi="Times New Roman" w:cs="Times New Roman"/>
        </w:rPr>
        <w:t xml:space="preserve">a well-attended </w:t>
      </w:r>
      <w:r w:rsidRPr="00163D0E" w:rsidR="00216458">
        <w:rPr>
          <w:rFonts w:ascii="Times New Roman" w:hAnsi="Times New Roman" w:cs="Times New Roman"/>
        </w:rPr>
        <w:t>drop-in</w:t>
      </w:r>
      <w:r w:rsidRPr="00163D0E">
        <w:rPr>
          <w:rFonts w:ascii="Times New Roman" w:hAnsi="Times New Roman" w:cs="Times New Roman"/>
        </w:rPr>
        <w:t xml:space="preserve"> session was held</w:t>
      </w:r>
      <w:r w:rsidRPr="00163D0E">
        <w:rPr>
          <w:rStyle w:val="FootnoteReference"/>
          <w:rFonts w:ascii="Times New Roman" w:hAnsi="Times New Roman" w:cs="Times New Roman"/>
        </w:rPr>
        <w:footnoteReference w:id="101"/>
      </w:r>
      <w:r w:rsidR="00216458">
        <w:rPr>
          <w:rFonts w:ascii="Times New Roman" w:hAnsi="Times New Roman" w:cs="Times New Roman"/>
        </w:rPr>
        <w:t>;</w:t>
      </w:r>
      <w:r w:rsidRPr="00163D0E">
        <w:rPr>
          <w:rFonts w:ascii="Times New Roman" w:hAnsi="Times New Roman" w:cs="Times New Roman"/>
        </w:rPr>
        <w:t xml:space="preserve"> community officers have undertaken door – knocking visits at different times of the day and week</w:t>
      </w:r>
      <w:r w:rsidR="00216458">
        <w:rPr>
          <w:rFonts w:ascii="Times New Roman" w:hAnsi="Times New Roman" w:cs="Times New Roman"/>
        </w:rPr>
        <w:t>;</w:t>
      </w:r>
      <w:r w:rsidRPr="00163D0E">
        <w:rPr>
          <w:rFonts w:ascii="Times New Roman" w:hAnsi="Times New Roman" w:cs="Times New Roman"/>
        </w:rPr>
        <w:t xml:space="preserve"> and requests have been made of engaged tenants to pass on the team’s details to their neighbours</w:t>
      </w:r>
      <w:r w:rsidRPr="00163D0E">
        <w:rPr>
          <w:rStyle w:val="FootnoteReference"/>
          <w:rFonts w:ascii="Times New Roman" w:hAnsi="Times New Roman" w:cs="Times New Roman"/>
        </w:rPr>
        <w:footnoteReference w:id="102"/>
      </w:r>
      <w:r w:rsidRPr="00163D0E">
        <w:rPr>
          <w:rFonts w:ascii="Times New Roman" w:hAnsi="Times New Roman" w:cs="Times New Roman"/>
        </w:rPr>
        <w:t xml:space="preserve">. Overall, </w:t>
      </w:r>
      <w:r w:rsidR="00216458">
        <w:rPr>
          <w:rFonts w:ascii="Times New Roman" w:hAnsi="Times New Roman" w:cs="Times New Roman"/>
        </w:rPr>
        <w:t>I</w:t>
      </w:r>
      <w:r w:rsidRPr="00163D0E">
        <w:rPr>
          <w:rFonts w:ascii="Times New Roman" w:hAnsi="Times New Roman" w:cs="Times New Roman"/>
        </w:rPr>
        <w:t xml:space="preserve">nfusion has assisted approximately 75 people within the Order Land and has an ongoing dialogue and are actively engaged with </w:t>
      </w:r>
      <w:proofErr w:type="gramStart"/>
      <w:r w:rsidRPr="00163D0E">
        <w:rPr>
          <w:rFonts w:ascii="Times New Roman" w:hAnsi="Times New Roman" w:cs="Times New Roman"/>
        </w:rPr>
        <w:t>the majority of</w:t>
      </w:r>
      <w:proofErr w:type="gramEnd"/>
      <w:r w:rsidRPr="00163D0E">
        <w:rPr>
          <w:rFonts w:ascii="Times New Roman" w:hAnsi="Times New Roman" w:cs="Times New Roman"/>
        </w:rPr>
        <w:t xml:space="preserve"> the tenants who remain in the area and who have indicated that they need assistance.</w:t>
      </w:r>
      <w:r w:rsidR="00CE0492">
        <w:rPr>
          <w:rFonts w:ascii="Times New Roman" w:hAnsi="Times New Roman" w:cs="Times New Roman"/>
        </w:rPr>
        <w:t xml:space="preserve"> This level of engagement is testament to the real, tangible efforts made.</w:t>
      </w:r>
    </w:p>
    <w:p w:rsidRPr="00163D0E" w:rsidR="00594F05" w:rsidP="00594F05" w:rsidRDefault="00594F05" w14:paraId="4ADAA259" w14:textId="77777777">
      <w:pPr>
        <w:pStyle w:val="ListParagraph"/>
        <w:rPr>
          <w:rFonts w:ascii="Times New Roman" w:hAnsi="Times New Roman" w:cs="Times New Roman"/>
        </w:rPr>
      </w:pPr>
    </w:p>
    <w:p w:rsidRPr="00163D0E" w:rsidR="00594F05" w:rsidP="00594F05" w:rsidRDefault="00594F05" w14:paraId="75EE6AF2" w14:textId="28D66E09">
      <w:pPr>
        <w:pStyle w:val="ListParagraph"/>
        <w:numPr>
          <w:ilvl w:val="0"/>
          <w:numId w:val="1"/>
        </w:numPr>
        <w:spacing w:line="360" w:lineRule="auto"/>
        <w:ind w:left="714" w:hanging="357"/>
        <w:rPr>
          <w:rFonts w:ascii="Times New Roman" w:hAnsi="Times New Roman" w:cs="Times New Roman"/>
        </w:rPr>
      </w:pPr>
      <w:r w:rsidRPr="00163D0E">
        <w:rPr>
          <w:rFonts w:ascii="Times New Roman" w:hAnsi="Times New Roman" w:cs="Times New Roman"/>
        </w:rPr>
        <w:lastRenderedPageBreak/>
        <w:t>As Ms. Aldridge explained, this was a tailored approach through which the Council sought to identify affected individuals with vulnerabilities or protected characteristics where the Order might have a differential impact, understand what those impacts might be, and take action to seek to mitigate any impacts arising. Examples include:</w:t>
      </w:r>
    </w:p>
    <w:p w:rsidRPr="00163D0E" w:rsidR="00594F05" w:rsidP="00594F05" w:rsidRDefault="00594F05" w14:paraId="5689CC09" w14:textId="77777777">
      <w:pPr>
        <w:pStyle w:val="ListParagraph"/>
        <w:rPr>
          <w:rFonts w:ascii="Times New Roman" w:hAnsi="Times New Roman" w:cs="Times New Roman"/>
        </w:rPr>
      </w:pPr>
    </w:p>
    <w:p w:rsidR="00594F05" w:rsidP="00594F05" w:rsidRDefault="00594F05" w14:paraId="38217D9D" w14:textId="7D88E82B">
      <w:pPr>
        <w:pStyle w:val="ListParagraph"/>
        <w:numPr>
          <w:ilvl w:val="0"/>
          <w:numId w:val="13"/>
        </w:numPr>
        <w:spacing w:line="360" w:lineRule="auto"/>
        <w:rPr>
          <w:rFonts w:ascii="Times New Roman" w:hAnsi="Times New Roman" w:cs="Times New Roman"/>
        </w:rPr>
      </w:pPr>
      <w:r w:rsidRPr="00163D0E">
        <w:rPr>
          <w:rFonts w:ascii="Times New Roman" w:hAnsi="Times New Roman" w:cs="Times New Roman"/>
        </w:rPr>
        <w:t>Providing tailored support to a resident with mental health issues, engaging directly with their support worker to ensure that the resident was fully engaged and supported</w:t>
      </w:r>
      <w:r w:rsidRPr="00163D0E">
        <w:rPr>
          <w:rStyle w:val="FootnoteReference"/>
          <w:rFonts w:ascii="Times New Roman" w:hAnsi="Times New Roman" w:cs="Times New Roman"/>
        </w:rPr>
        <w:footnoteReference w:id="103"/>
      </w:r>
      <w:r w:rsidRPr="00163D0E">
        <w:rPr>
          <w:rFonts w:ascii="Times New Roman" w:hAnsi="Times New Roman" w:cs="Times New Roman"/>
        </w:rPr>
        <w:t>;</w:t>
      </w:r>
    </w:p>
    <w:p w:rsidRPr="00163D0E" w:rsidR="00216458" w:rsidP="00216458" w:rsidRDefault="00216458" w14:paraId="3F305F1A" w14:textId="77777777">
      <w:pPr>
        <w:pStyle w:val="ListParagraph"/>
        <w:spacing w:line="360" w:lineRule="auto"/>
        <w:ind w:left="1074"/>
        <w:rPr>
          <w:rFonts w:ascii="Times New Roman" w:hAnsi="Times New Roman" w:cs="Times New Roman"/>
        </w:rPr>
      </w:pPr>
    </w:p>
    <w:p w:rsidRPr="00163D0E" w:rsidR="00594F05" w:rsidP="00594F05" w:rsidRDefault="00594F05" w14:paraId="11EACCD5" w14:textId="598E1A93">
      <w:pPr>
        <w:pStyle w:val="ListParagraph"/>
        <w:numPr>
          <w:ilvl w:val="0"/>
          <w:numId w:val="13"/>
        </w:numPr>
        <w:spacing w:line="360" w:lineRule="auto"/>
        <w:rPr>
          <w:rFonts w:ascii="Times New Roman" w:hAnsi="Times New Roman" w:cs="Times New Roman"/>
        </w:rPr>
      </w:pPr>
      <w:r w:rsidRPr="00163D0E">
        <w:rPr>
          <w:rFonts w:ascii="Times New Roman" w:hAnsi="Times New Roman" w:cs="Times New Roman"/>
        </w:rPr>
        <w:t xml:space="preserve">Providing written correspondence putting black text on a red background to assist one resident to read the information </w:t>
      </w:r>
      <w:proofErr w:type="gramStart"/>
      <w:r w:rsidRPr="00163D0E">
        <w:rPr>
          <w:rFonts w:ascii="Times New Roman" w:hAnsi="Times New Roman" w:cs="Times New Roman"/>
        </w:rPr>
        <w:t>provided;</w:t>
      </w:r>
      <w:proofErr w:type="gramEnd"/>
    </w:p>
    <w:p w:rsidRPr="00163D0E" w:rsidR="00594F05" w:rsidP="00594F05" w:rsidRDefault="00594F05" w14:paraId="07930ACB" w14:textId="77777777">
      <w:pPr>
        <w:pStyle w:val="ListParagraph"/>
        <w:spacing w:line="360" w:lineRule="auto"/>
        <w:ind w:left="1074"/>
        <w:rPr>
          <w:rFonts w:ascii="Times New Roman" w:hAnsi="Times New Roman" w:cs="Times New Roman"/>
        </w:rPr>
      </w:pPr>
    </w:p>
    <w:p w:rsidRPr="00163D0E" w:rsidR="00594F05" w:rsidP="00594F05" w:rsidRDefault="00594F05" w14:paraId="3020F4FD" w14:textId="7F71C9EC">
      <w:pPr>
        <w:pStyle w:val="ListParagraph"/>
        <w:numPr>
          <w:ilvl w:val="0"/>
          <w:numId w:val="13"/>
        </w:numPr>
        <w:spacing w:line="360" w:lineRule="auto"/>
        <w:rPr>
          <w:rFonts w:ascii="Times New Roman" w:hAnsi="Times New Roman" w:cs="Times New Roman"/>
        </w:rPr>
      </w:pPr>
      <w:r w:rsidRPr="00163D0E">
        <w:rPr>
          <w:rFonts w:ascii="Times New Roman" w:hAnsi="Times New Roman" w:cs="Times New Roman"/>
        </w:rPr>
        <w:t>Supporting the amendment of suitable ID documents for claims etc that might be acceptable (as some residents did not hold driving licences or passports)</w:t>
      </w:r>
      <w:r w:rsidRPr="00163D0E">
        <w:rPr>
          <w:rStyle w:val="FootnoteReference"/>
          <w:rFonts w:ascii="Times New Roman" w:hAnsi="Times New Roman" w:cs="Times New Roman"/>
        </w:rPr>
        <w:footnoteReference w:id="104"/>
      </w:r>
      <w:r w:rsidRPr="00163D0E">
        <w:rPr>
          <w:rFonts w:ascii="Times New Roman" w:hAnsi="Times New Roman" w:cs="Times New Roman"/>
        </w:rPr>
        <w:t>;</w:t>
      </w:r>
    </w:p>
    <w:p w:rsidRPr="00163D0E" w:rsidR="00594F05" w:rsidP="00594F05" w:rsidRDefault="00594F05" w14:paraId="60A42397" w14:textId="77777777">
      <w:pPr>
        <w:pStyle w:val="ListParagraph"/>
        <w:rPr>
          <w:rFonts w:ascii="Times New Roman" w:hAnsi="Times New Roman" w:cs="Times New Roman"/>
        </w:rPr>
      </w:pPr>
    </w:p>
    <w:p w:rsidRPr="00163D0E" w:rsidR="00594F05" w:rsidP="00594F05" w:rsidRDefault="00594F05" w14:paraId="6EAC91AF" w14:textId="31A287F6">
      <w:pPr>
        <w:pStyle w:val="ListParagraph"/>
        <w:numPr>
          <w:ilvl w:val="0"/>
          <w:numId w:val="13"/>
        </w:numPr>
        <w:spacing w:line="360" w:lineRule="auto"/>
        <w:rPr>
          <w:rFonts w:ascii="Times New Roman" w:hAnsi="Times New Roman" w:cs="Times New Roman"/>
        </w:rPr>
      </w:pPr>
      <w:r w:rsidRPr="00163D0E">
        <w:rPr>
          <w:rFonts w:ascii="Times New Roman" w:hAnsi="Times New Roman" w:cs="Times New Roman"/>
        </w:rPr>
        <w:t xml:space="preserve">Assisting residents where literacy was a challenge, through providing easy to read letters, and simplifying home – loss forms, and </w:t>
      </w:r>
      <w:proofErr w:type="gramStart"/>
      <w:r w:rsidRPr="00163D0E">
        <w:rPr>
          <w:rFonts w:ascii="Times New Roman" w:hAnsi="Times New Roman" w:cs="Times New Roman"/>
        </w:rPr>
        <w:t>providing assistance</w:t>
      </w:r>
      <w:proofErr w:type="gramEnd"/>
      <w:r w:rsidRPr="00163D0E">
        <w:rPr>
          <w:rFonts w:ascii="Times New Roman" w:hAnsi="Times New Roman" w:cs="Times New Roman"/>
        </w:rPr>
        <w:t xml:space="preserve"> with form filling.</w:t>
      </w:r>
    </w:p>
    <w:p w:rsidRPr="00163D0E" w:rsidR="00594F05" w:rsidP="00594F05" w:rsidRDefault="00594F05" w14:paraId="48EF7D0F" w14:textId="77777777">
      <w:pPr>
        <w:pStyle w:val="ListParagraph"/>
        <w:spacing w:line="360" w:lineRule="auto"/>
        <w:ind w:left="1074"/>
        <w:rPr>
          <w:rFonts w:ascii="Times New Roman" w:hAnsi="Times New Roman" w:cs="Times New Roman"/>
        </w:rPr>
      </w:pPr>
    </w:p>
    <w:p w:rsidRPr="00163D0E" w:rsidR="00594F05" w:rsidP="00594F05" w:rsidRDefault="00594F05" w14:paraId="0C55FFC6" w14:textId="2FD2E6DD">
      <w:pPr>
        <w:pStyle w:val="ListParagraph"/>
        <w:numPr>
          <w:ilvl w:val="0"/>
          <w:numId w:val="13"/>
        </w:numPr>
        <w:spacing w:line="360" w:lineRule="auto"/>
        <w:rPr>
          <w:rFonts w:ascii="Times New Roman" w:hAnsi="Times New Roman" w:cs="Times New Roman"/>
        </w:rPr>
      </w:pPr>
      <w:r w:rsidRPr="00163D0E">
        <w:rPr>
          <w:rFonts w:ascii="Times New Roman" w:hAnsi="Times New Roman" w:cs="Times New Roman"/>
        </w:rPr>
        <w:t xml:space="preserve">Liaising with Housing Options staff to put in place ICT 1:1 support lessons to assist tenants in making bids for housing </w:t>
      </w:r>
      <w:proofErr w:type="gramStart"/>
      <w:r w:rsidRPr="00163D0E">
        <w:rPr>
          <w:rFonts w:ascii="Times New Roman" w:hAnsi="Times New Roman" w:cs="Times New Roman"/>
        </w:rPr>
        <w:t>accommodation;</w:t>
      </w:r>
      <w:proofErr w:type="gramEnd"/>
    </w:p>
    <w:p w:rsidRPr="00163D0E" w:rsidR="00594F05" w:rsidP="00594F05" w:rsidRDefault="00594F05" w14:paraId="02826F3C" w14:textId="77777777">
      <w:pPr>
        <w:pStyle w:val="ListParagraph"/>
        <w:spacing w:line="360" w:lineRule="auto"/>
        <w:ind w:left="1074"/>
        <w:rPr>
          <w:rFonts w:ascii="Times New Roman" w:hAnsi="Times New Roman" w:cs="Times New Roman"/>
        </w:rPr>
      </w:pPr>
    </w:p>
    <w:p w:rsidR="00594F05" w:rsidP="00216458" w:rsidRDefault="00594F05" w14:paraId="3C3C8F15" w14:textId="74D71298">
      <w:pPr>
        <w:pStyle w:val="ListParagraph"/>
        <w:numPr>
          <w:ilvl w:val="0"/>
          <w:numId w:val="13"/>
        </w:numPr>
        <w:spacing w:line="360" w:lineRule="auto"/>
        <w:rPr>
          <w:rFonts w:ascii="Times New Roman" w:hAnsi="Times New Roman" w:cs="Times New Roman"/>
        </w:rPr>
      </w:pPr>
      <w:r w:rsidRPr="00163D0E">
        <w:rPr>
          <w:rFonts w:ascii="Times New Roman" w:hAnsi="Times New Roman" w:cs="Times New Roman"/>
        </w:rPr>
        <w:t xml:space="preserve">Understanding the </w:t>
      </w:r>
      <w:proofErr w:type="gramStart"/>
      <w:r w:rsidRPr="00163D0E">
        <w:rPr>
          <w:rFonts w:ascii="Times New Roman" w:hAnsi="Times New Roman" w:cs="Times New Roman"/>
        </w:rPr>
        <w:t>particular needs</w:t>
      </w:r>
      <w:proofErr w:type="gramEnd"/>
      <w:r w:rsidRPr="00163D0E">
        <w:rPr>
          <w:rFonts w:ascii="Times New Roman" w:hAnsi="Times New Roman" w:cs="Times New Roman"/>
        </w:rPr>
        <w:t xml:space="preserve">, requirements and preferences of affected persons, particularly those with vulnerabilities and protected characteristics, and assisting them </w:t>
      </w:r>
      <w:r w:rsidR="00216458">
        <w:rPr>
          <w:rFonts w:ascii="Times New Roman" w:hAnsi="Times New Roman" w:cs="Times New Roman"/>
        </w:rPr>
        <w:t>access</w:t>
      </w:r>
      <w:r w:rsidR="00CE0492">
        <w:rPr>
          <w:rFonts w:ascii="Times New Roman" w:hAnsi="Times New Roman" w:cs="Times New Roman"/>
        </w:rPr>
        <w:t xml:space="preserve"> public and appropriate private sector</w:t>
      </w:r>
      <w:r w:rsidRPr="00163D0E">
        <w:rPr>
          <w:rFonts w:ascii="Times New Roman" w:hAnsi="Times New Roman" w:cs="Times New Roman"/>
        </w:rPr>
        <w:t xml:space="preserve"> housing options that are most likely to meet their particular needs. This has included assisting affected persons in understanding and accessing accelerated home loss payments (above), providing information as to the range of housing options available to meet specific needs, providing support with applications where required, and facilitating access and support from other services available within and </w:t>
      </w:r>
      <w:proofErr w:type="spellStart"/>
      <w:r w:rsidRPr="00163D0E">
        <w:rPr>
          <w:rFonts w:ascii="Times New Roman" w:hAnsi="Times New Roman" w:cs="Times New Roman"/>
        </w:rPr>
        <w:t>outwith</w:t>
      </w:r>
      <w:proofErr w:type="spellEnd"/>
      <w:r w:rsidRPr="00163D0E">
        <w:rPr>
          <w:rFonts w:ascii="Times New Roman" w:hAnsi="Times New Roman" w:cs="Times New Roman"/>
        </w:rPr>
        <w:t xml:space="preserve"> the Council.</w:t>
      </w:r>
    </w:p>
    <w:p w:rsidR="00216458" w:rsidP="00216458" w:rsidRDefault="00216458" w14:paraId="071E8AC2" w14:textId="77777777">
      <w:pPr>
        <w:pStyle w:val="ListParagraph"/>
        <w:spacing w:line="360" w:lineRule="auto"/>
        <w:rPr>
          <w:rFonts w:ascii="Times New Roman" w:hAnsi="Times New Roman" w:cs="Times New Roman"/>
        </w:rPr>
      </w:pPr>
    </w:p>
    <w:p w:rsidR="00216458" w:rsidP="00216458" w:rsidRDefault="00216458" w14:paraId="43F71EA4" w14:textId="77777777">
      <w:pPr>
        <w:pStyle w:val="ListParagraph"/>
        <w:numPr>
          <w:ilvl w:val="0"/>
          <w:numId w:val="1"/>
        </w:numPr>
        <w:spacing w:line="360" w:lineRule="auto"/>
        <w:rPr>
          <w:rFonts w:ascii="Times New Roman" w:hAnsi="Times New Roman" w:cs="Times New Roman"/>
        </w:rPr>
      </w:pPr>
      <w:r w:rsidRPr="00216458">
        <w:rPr>
          <w:rFonts w:ascii="Times New Roman" w:hAnsi="Times New Roman" w:cs="Times New Roman"/>
        </w:rPr>
        <w:lastRenderedPageBreak/>
        <w:t>For these reasons also, in accordance with paragraph 2.5 and 13.4 of the CPO guidance, the Council has considered the interests of those affected by the Order and has put in place mitigation measures to deal with identified issues.</w:t>
      </w:r>
    </w:p>
    <w:p w:rsidR="00216458" w:rsidP="00216458" w:rsidRDefault="00216458" w14:paraId="38436832" w14:textId="77777777">
      <w:pPr>
        <w:pStyle w:val="ListParagraph"/>
        <w:spacing w:line="360" w:lineRule="auto"/>
        <w:rPr>
          <w:rFonts w:ascii="Times New Roman" w:hAnsi="Times New Roman" w:cs="Times New Roman"/>
        </w:rPr>
      </w:pPr>
    </w:p>
    <w:p w:rsidRPr="00216458" w:rsidR="00594F05" w:rsidP="00216458" w:rsidRDefault="00594F05" w14:paraId="6F87E422" w14:textId="7A5F621A">
      <w:pPr>
        <w:pStyle w:val="ListParagraph"/>
        <w:numPr>
          <w:ilvl w:val="0"/>
          <w:numId w:val="1"/>
        </w:numPr>
        <w:spacing w:line="360" w:lineRule="auto"/>
        <w:rPr>
          <w:rFonts w:ascii="Times New Roman" w:hAnsi="Times New Roman" w:cs="Times New Roman"/>
        </w:rPr>
      </w:pPr>
      <w:r w:rsidRPr="00216458">
        <w:rPr>
          <w:rFonts w:ascii="Times New Roman" w:hAnsi="Times New Roman" w:cs="Times New Roman"/>
        </w:rPr>
        <w:t>It is in that context that I turn to the outstanding interests on the Order Land that have not been acquired, or where agreement has not yet been reached.</w:t>
      </w:r>
    </w:p>
    <w:p w:rsidRPr="00163D0E" w:rsidR="00594F05" w:rsidP="00594F05" w:rsidRDefault="00594F05" w14:paraId="04A804CB" w14:textId="77777777">
      <w:pPr>
        <w:pStyle w:val="ListParagraph"/>
        <w:spacing w:line="360" w:lineRule="auto"/>
        <w:rPr>
          <w:rFonts w:ascii="Times New Roman" w:hAnsi="Times New Roman" w:cs="Times New Roman"/>
        </w:rPr>
      </w:pPr>
    </w:p>
    <w:p w:rsidRPr="0007427B" w:rsidR="00594F05" w:rsidP="00594F05" w:rsidRDefault="00594F05" w14:paraId="3B51D3AE" w14:textId="7160A7C1">
      <w:pPr>
        <w:pStyle w:val="ListParagraph"/>
        <w:numPr>
          <w:ilvl w:val="0"/>
          <w:numId w:val="9"/>
        </w:numPr>
        <w:spacing w:line="360" w:lineRule="auto"/>
        <w:rPr>
          <w:rFonts w:ascii="Times New Roman" w:hAnsi="Times New Roman" w:cs="Times New Roman"/>
          <w:i/>
          <w:iCs/>
          <w:u w:val="single"/>
        </w:rPr>
      </w:pPr>
      <w:r w:rsidRPr="0007427B">
        <w:rPr>
          <w:rFonts w:ascii="Times New Roman" w:hAnsi="Times New Roman" w:cs="Times New Roman"/>
          <w:i/>
          <w:iCs/>
          <w:u w:val="single"/>
        </w:rPr>
        <w:t>Outstanding Interests and Objections</w:t>
      </w:r>
    </w:p>
    <w:p w:rsidRPr="00CE0492" w:rsidR="00CE0492" w:rsidP="00CE0492" w:rsidRDefault="00CE0492" w14:paraId="33F1C2C9" w14:textId="77777777">
      <w:pPr>
        <w:pStyle w:val="ListParagraph"/>
        <w:spacing w:line="360" w:lineRule="auto"/>
        <w:ind w:left="1080"/>
        <w:rPr>
          <w:rFonts w:ascii="Times New Roman" w:hAnsi="Times New Roman" w:cs="Times New Roman"/>
          <w:u w:val="single"/>
        </w:rPr>
      </w:pPr>
    </w:p>
    <w:p w:rsidRPr="00163D0E" w:rsidR="00227556" w:rsidP="00594F05" w:rsidRDefault="00227556" w14:paraId="568FCCEC" w14:textId="5D084AEC">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As set out above, the vast majority (82%) of interests in the Order Land have now been acquired by negotiation or agreed</w:t>
      </w:r>
      <w:r w:rsidRPr="00163D0E" w:rsidR="00594F05">
        <w:rPr>
          <w:rFonts w:ascii="Times New Roman" w:hAnsi="Times New Roman" w:cs="Times New Roman"/>
        </w:rPr>
        <w:t>, and some 75 households have been assisted by the Infusion team.</w:t>
      </w:r>
    </w:p>
    <w:p w:rsidRPr="00163D0E" w:rsidR="00227556" w:rsidP="00227556" w:rsidRDefault="00227556" w14:paraId="65B5561E" w14:textId="77777777">
      <w:pPr>
        <w:pStyle w:val="ListParagraph"/>
        <w:rPr>
          <w:rFonts w:ascii="Times New Roman" w:hAnsi="Times New Roman" w:cs="Times New Roman"/>
        </w:rPr>
      </w:pPr>
    </w:p>
    <w:p w:rsidRPr="00163D0E" w:rsidR="007302B4" w:rsidP="00594F05" w:rsidRDefault="00227556" w14:paraId="630A0E45" w14:textId="69CED820">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 </w:t>
      </w:r>
      <w:r w:rsidRPr="00163D0E" w:rsidR="00594F05">
        <w:rPr>
          <w:rFonts w:ascii="Times New Roman" w:hAnsi="Times New Roman" w:cs="Times New Roman"/>
        </w:rPr>
        <w:t>However, t</w:t>
      </w:r>
      <w:r w:rsidRPr="00163D0E">
        <w:rPr>
          <w:rFonts w:ascii="Times New Roman" w:hAnsi="Times New Roman" w:cs="Times New Roman"/>
        </w:rPr>
        <w:t xml:space="preserve">here are a small number of properties where agreements have not been reached, but where no objection has been lodged. As explained by TY in </w:t>
      </w:r>
      <w:proofErr w:type="spellStart"/>
      <w:r w:rsidRPr="00163D0E">
        <w:rPr>
          <w:rFonts w:ascii="Times New Roman" w:hAnsi="Times New Roman" w:cs="Times New Roman"/>
        </w:rPr>
        <w:t>xic</w:t>
      </w:r>
      <w:proofErr w:type="spellEnd"/>
      <w:r w:rsidRPr="00163D0E">
        <w:rPr>
          <w:rFonts w:ascii="Times New Roman" w:hAnsi="Times New Roman" w:cs="Times New Roman"/>
        </w:rPr>
        <w:t>, negotiations are advanced in respect of all these properties, there is no objection to the CPO, and any remaining issue relates to valuation issues. The Council will continue to negotiate to try and acquire these interests by agreement.</w:t>
      </w:r>
    </w:p>
    <w:p w:rsidRPr="00163D0E" w:rsidR="00227556" w:rsidP="00227556" w:rsidRDefault="00227556" w14:paraId="761FE5B4" w14:textId="77777777">
      <w:pPr>
        <w:pStyle w:val="ListParagraph"/>
        <w:rPr>
          <w:rFonts w:ascii="Times New Roman" w:hAnsi="Times New Roman" w:cs="Times New Roman"/>
        </w:rPr>
      </w:pPr>
    </w:p>
    <w:p w:rsidRPr="00163D0E" w:rsidR="00227556" w:rsidP="00227556" w:rsidRDefault="00227556" w14:paraId="6D9E89F8" w14:textId="4DDCEBE6">
      <w:pPr>
        <w:pStyle w:val="ListParagraph"/>
        <w:spacing w:line="360" w:lineRule="auto"/>
        <w:rPr>
          <w:rFonts w:ascii="Times New Roman" w:hAnsi="Times New Roman" w:cs="Times New Roman"/>
        </w:rPr>
      </w:pPr>
      <w:r w:rsidRPr="00163D0E">
        <w:rPr>
          <w:rFonts w:ascii="Times New Roman" w:hAnsi="Times New Roman" w:cs="Times New Roman"/>
        </w:rPr>
        <w:t xml:space="preserve">(These are: </w:t>
      </w:r>
    </w:p>
    <w:p w:rsidRPr="00163D0E" w:rsidR="00227556" w:rsidP="00227556" w:rsidRDefault="00227556" w14:paraId="116B6E32" w14:textId="0FC10A5E">
      <w:pPr>
        <w:pStyle w:val="ListParagraph"/>
        <w:numPr>
          <w:ilvl w:val="0"/>
          <w:numId w:val="12"/>
        </w:numPr>
        <w:spacing w:line="360" w:lineRule="auto"/>
        <w:rPr>
          <w:rFonts w:ascii="Times New Roman" w:hAnsi="Times New Roman" w:cs="Times New Roman"/>
        </w:rPr>
      </w:pPr>
      <w:r w:rsidRPr="00163D0E">
        <w:rPr>
          <w:rFonts w:ascii="Times New Roman" w:hAnsi="Times New Roman" w:cs="Times New Roman"/>
        </w:rPr>
        <w:t>Plot 1/No.20 Cookson Street</w:t>
      </w:r>
    </w:p>
    <w:p w:rsidRPr="00163D0E" w:rsidR="00227556" w:rsidP="00227556" w:rsidRDefault="0013577A" w14:paraId="3F6CB7EA" w14:textId="5AF42D90">
      <w:pPr>
        <w:pStyle w:val="ListParagraph"/>
        <w:numPr>
          <w:ilvl w:val="0"/>
          <w:numId w:val="12"/>
        </w:numPr>
        <w:spacing w:line="360" w:lineRule="auto"/>
        <w:rPr>
          <w:rFonts w:ascii="Times New Roman" w:hAnsi="Times New Roman" w:cs="Times New Roman"/>
        </w:rPr>
      </w:pPr>
      <w:r w:rsidRPr="00163D0E">
        <w:rPr>
          <w:rFonts w:ascii="Times New Roman" w:hAnsi="Times New Roman" w:cs="Times New Roman"/>
        </w:rPr>
        <w:t>Leaseholder at</w:t>
      </w:r>
      <w:r w:rsidRPr="00163D0E" w:rsidR="00227556">
        <w:rPr>
          <w:rFonts w:ascii="Times New Roman" w:hAnsi="Times New Roman" w:cs="Times New Roman"/>
        </w:rPr>
        <w:t xml:space="preserve"> Plot 5/No.32 Cookson Street</w:t>
      </w:r>
    </w:p>
    <w:p w:rsidRPr="00163D0E" w:rsidR="00227556" w:rsidP="00227556" w:rsidRDefault="00227556" w14:paraId="47645DEF" w14:textId="261FFF73">
      <w:pPr>
        <w:pStyle w:val="ListParagraph"/>
        <w:numPr>
          <w:ilvl w:val="0"/>
          <w:numId w:val="12"/>
        </w:numPr>
        <w:spacing w:line="360" w:lineRule="auto"/>
        <w:rPr>
          <w:rFonts w:ascii="Times New Roman" w:hAnsi="Times New Roman" w:cs="Times New Roman"/>
        </w:rPr>
      </w:pPr>
      <w:r w:rsidRPr="00163D0E">
        <w:rPr>
          <w:rFonts w:ascii="Times New Roman" w:hAnsi="Times New Roman" w:cs="Times New Roman"/>
        </w:rPr>
        <w:t xml:space="preserve">14, 14a, 14b </w:t>
      </w:r>
      <w:proofErr w:type="spellStart"/>
      <w:r w:rsidRPr="00163D0E">
        <w:rPr>
          <w:rFonts w:ascii="Times New Roman" w:hAnsi="Times New Roman" w:cs="Times New Roman"/>
        </w:rPr>
        <w:t>Milboune</w:t>
      </w:r>
      <w:proofErr w:type="spellEnd"/>
      <w:r w:rsidRPr="00163D0E">
        <w:rPr>
          <w:rFonts w:ascii="Times New Roman" w:hAnsi="Times New Roman" w:cs="Times New Roman"/>
        </w:rPr>
        <w:t xml:space="preserve"> Street</w:t>
      </w:r>
    </w:p>
    <w:p w:rsidRPr="00163D0E" w:rsidR="00227556" w:rsidP="00227556" w:rsidRDefault="00227556" w14:paraId="3A78A3BF" w14:textId="27923975">
      <w:pPr>
        <w:pStyle w:val="ListParagraph"/>
        <w:numPr>
          <w:ilvl w:val="0"/>
          <w:numId w:val="12"/>
        </w:numPr>
        <w:spacing w:line="360" w:lineRule="auto"/>
        <w:rPr>
          <w:rFonts w:ascii="Times New Roman" w:hAnsi="Times New Roman" w:cs="Times New Roman"/>
        </w:rPr>
      </w:pPr>
      <w:r w:rsidRPr="00163D0E">
        <w:rPr>
          <w:rFonts w:ascii="Times New Roman" w:hAnsi="Times New Roman" w:cs="Times New Roman"/>
        </w:rPr>
        <w:t xml:space="preserve">Plot 62/Number 15 George Street </w:t>
      </w:r>
    </w:p>
    <w:p w:rsidRPr="00163D0E" w:rsidR="00227556" w:rsidP="00227556" w:rsidRDefault="00227556" w14:paraId="04683E96" w14:textId="7B33E542">
      <w:pPr>
        <w:pStyle w:val="ListParagraph"/>
        <w:numPr>
          <w:ilvl w:val="0"/>
          <w:numId w:val="12"/>
        </w:numPr>
        <w:spacing w:line="360" w:lineRule="auto"/>
        <w:rPr>
          <w:rFonts w:ascii="Times New Roman" w:hAnsi="Times New Roman" w:cs="Times New Roman"/>
        </w:rPr>
      </w:pPr>
      <w:r w:rsidRPr="00163D0E">
        <w:rPr>
          <w:rFonts w:ascii="Times New Roman" w:hAnsi="Times New Roman" w:cs="Times New Roman"/>
        </w:rPr>
        <w:t>Number 25 /Plot 34 Charles Street</w:t>
      </w:r>
    </w:p>
    <w:p w:rsidRPr="00163D0E" w:rsidR="00227556" w:rsidP="00227556" w:rsidRDefault="00227556" w14:paraId="4E710506" w14:textId="03E8C543">
      <w:pPr>
        <w:pStyle w:val="ListParagraph"/>
        <w:numPr>
          <w:ilvl w:val="0"/>
          <w:numId w:val="12"/>
        </w:numPr>
        <w:spacing w:line="360" w:lineRule="auto"/>
        <w:rPr>
          <w:rFonts w:ascii="Times New Roman" w:hAnsi="Times New Roman" w:cs="Times New Roman"/>
        </w:rPr>
      </w:pPr>
      <w:r w:rsidRPr="00163D0E">
        <w:rPr>
          <w:rFonts w:ascii="Times New Roman" w:hAnsi="Times New Roman" w:cs="Times New Roman"/>
        </w:rPr>
        <w:t>Land at Charles Street /Plot 36)</w:t>
      </w:r>
    </w:p>
    <w:p w:rsidRPr="00163D0E" w:rsidR="00227556" w:rsidP="00227556" w:rsidRDefault="00227556" w14:paraId="502813FD" w14:textId="77777777">
      <w:pPr>
        <w:pStyle w:val="ListParagraph"/>
        <w:rPr>
          <w:rFonts w:ascii="Times New Roman" w:hAnsi="Times New Roman" w:cs="Times New Roman"/>
        </w:rPr>
      </w:pPr>
    </w:p>
    <w:p w:rsidRPr="00163D0E" w:rsidR="0076180C" w:rsidP="00594F05" w:rsidRDefault="00594F05" w14:paraId="64B7A13F" w14:textId="2899F71F">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There were initially 1</w:t>
      </w:r>
      <w:r w:rsidR="00D93D8C">
        <w:rPr>
          <w:rFonts w:ascii="Times New Roman" w:hAnsi="Times New Roman" w:cs="Times New Roman"/>
        </w:rPr>
        <w:t>3</w:t>
      </w:r>
      <w:r w:rsidRPr="00163D0E">
        <w:rPr>
          <w:rFonts w:ascii="Times New Roman" w:hAnsi="Times New Roman" w:cs="Times New Roman"/>
        </w:rPr>
        <w:t xml:space="preserve"> objections to the CPO</w:t>
      </w:r>
      <w:r w:rsidR="00D93D8C">
        <w:rPr>
          <w:rFonts w:ascii="Times New Roman" w:hAnsi="Times New Roman" w:cs="Times New Roman"/>
        </w:rPr>
        <w:t>, with 2 additional late objections accepted by the Inspector – so 15</w:t>
      </w:r>
      <w:r w:rsidR="0007427B">
        <w:rPr>
          <w:rFonts w:ascii="Times New Roman" w:hAnsi="Times New Roman" w:cs="Times New Roman"/>
        </w:rPr>
        <w:t xml:space="preserve"> objections to the CPO were submitted</w:t>
      </w:r>
      <w:r w:rsidR="00D93D8C">
        <w:rPr>
          <w:rFonts w:ascii="Times New Roman" w:hAnsi="Times New Roman" w:cs="Times New Roman"/>
        </w:rPr>
        <w:t xml:space="preserve"> in total</w:t>
      </w:r>
      <w:r w:rsidRPr="00163D0E">
        <w:rPr>
          <w:rFonts w:ascii="Times New Roman" w:hAnsi="Times New Roman" w:cs="Times New Roman"/>
        </w:rPr>
        <w:t xml:space="preserve">. It is further testament to the Council’s ongoing, proactive and continuing efforts to negotiate by agreement that, at the time of writing, 9 are resolved. The Council’s response to the 6 remaining objections is as follows: </w:t>
      </w:r>
    </w:p>
    <w:p w:rsidRPr="00163D0E" w:rsidR="0076180C" w:rsidP="0076180C" w:rsidRDefault="0076180C" w14:paraId="3D2F224E" w14:textId="77777777">
      <w:pPr>
        <w:pStyle w:val="ListParagraph"/>
        <w:spacing w:line="360" w:lineRule="auto"/>
        <w:rPr>
          <w:rFonts w:ascii="Times New Roman" w:hAnsi="Times New Roman" w:cs="Times New Roman"/>
        </w:rPr>
      </w:pPr>
    </w:p>
    <w:p w:rsidRPr="00163D0E" w:rsidR="0076180C" w:rsidP="006D50A5" w:rsidRDefault="0076180C" w14:paraId="7A9B973C" w14:textId="123DE7CB">
      <w:pPr>
        <w:spacing w:line="360" w:lineRule="auto"/>
        <w:rPr>
          <w:rFonts w:ascii="Times New Roman" w:hAnsi="Times New Roman" w:cs="Times New Roman"/>
          <w:u w:val="single"/>
        </w:rPr>
      </w:pPr>
      <w:r w:rsidRPr="00163D0E">
        <w:rPr>
          <w:rFonts w:ascii="Times New Roman" w:hAnsi="Times New Roman" w:cs="Times New Roman"/>
          <w:u w:val="single"/>
        </w:rPr>
        <w:t>JCB Northern Lights</w:t>
      </w:r>
      <w:r w:rsidRPr="00163D0E" w:rsidR="006D50A5">
        <w:rPr>
          <w:rFonts w:ascii="Times New Roman" w:hAnsi="Times New Roman" w:cs="Times New Roman"/>
          <w:u w:val="single"/>
        </w:rPr>
        <w:t>: No. 34 Cookson Street</w:t>
      </w:r>
    </w:p>
    <w:p w:rsidRPr="00163D0E" w:rsidR="0013577A" w:rsidP="0076180C" w:rsidRDefault="0013577A" w14:paraId="566B62BC" w14:textId="77777777">
      <w:pPr>
        <w:pStyle w:val="ListParagraph"/>
        <w:spacing w:line="360" w:lineRule="auto"/>
        <w:rPr>
          <w:rFonts w:ascii="Times New Roman" w:hAnsi="Times New Roman" w:cs="Times New Roman"/>
          <w:u w:val="single"/>
        </w:rPr>
      </w:pPr>
    </w:p>
    <w:p w:rsidRPr="00163D0E" w:rsidR="006D50A5" w:rsidP="00594F05" w:rsidRDefault="0013577A" w14:paraId="63505D04" w14:textId="7777777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An offer has been made in respect of this property based upon comparables and market evidence (see above)</w:t>
      </w:r>
      <w:r w:rsidRPr="00163D0E" w:rsidR="006D50A5">
        <w:rPr>
          <w:rFonts w:ascii="Times New Roman" w:hAnsi="Times New Roman" w:cs="Times New Roman"/>
        </w:rPr>
        <w:t>, and there have been meaningful attempts to negotiate with this objector.</w:t>
      </w:r>
    </w:p>
    <w:p w:rsidRPr="00163D0E" w:rsidR="006D50A5" w:rsidP="006D50A5" w:rsidRDefault="006D50A5" w14:paraId="1B36BEB4" w14:textId="77777777">
      <w:pPr>
        <w:pStyle w:val="ListParagraph"/>
        <w:spacing w:line="360" w:lineRule="auto"/>
        <w:rPr>
          <w:rFonts w:ascii="Times New Roman" w:hAnsi="Times New Roman" w:cs="Times New Roman"/>
        </w:rPr>
      </w:pPr>
    </w:p>
    <w:p w:rsidRPr="00163D0E" w:rsidR="006D50A5" w:rsidP="00594F05" w:rsidRDefault="0013577A" w14:paraId="5FA962B6" w14:textId="63E6BBE9">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w:t>
      </w:r>
      <w:r w:rsidRPr="00163D0E" w:rsidR="006D50A5">
        <w:rPr>
          <w:rFonts w:ascii="Times New Roman" w:hAnsi="Times New Roman" w:cs="Times New Roman"/>
        </w:rPr>
        <w:t>objector alleges</w:t>
      </w:r>
      <w:r w:rsidRPr="00163D0E">
        <w:rPr>
          <w:rFonts w:ascii="Times New Roman" w:hAnsi="Times New Roman" w:cs="Times New Roman"/>
        </w:rPr>
        <w:t xml:space="preserve"> that the </w:t>
      </w:r>
      <w:r w:rsidR="00216458">
        <w:rPr>
          <w:rFonts w:ascii="Times New Roman" w:hAnsi="Times New Roman" w:cs="Times New Roman"/>
        </w:rPr>
        <w:t xml:space="preserve">Council’s </w:t>
      </w:r>
      <w:r w:rsidRPr="00163D0E">
        <w:rPr>
          <w:rFonts w:ascii="Times New Roman" w:hAnsi="Times New Roman" w:cs="Times New Roman"/>
        </w:rPr>
        <w:t xml:space="preserve">offer is not reflective of market value, does not reflect the valuation code, and criticises the Council for not undertaking a more detailed valuation. However, as explained by TY, the Council has requested access to inspect the property on numerous occasions. This has not </w:t>
      </w:r>
      <w:r w:rsidR="00257363">
        <w:rPr>
          <w:rFonts w:ascii="Times New Roman" w:hAnsi="Times New Roman" w:cs="Times New Roman"/>
        </w:rPr>
        <w:t xml:space="preserve">yet </w:t>
      </w:r>
      <w:r w:rsidRPr="00163D0E">
        <w:rPr>
          <w:rFonts w:ascii="Times New Roman" w:hAnsi="Times New Roman" w:cs="Times New Roman"/>
        </w:rPr>
        <w:t xml:space="preserve">been permitted. </w:t>
      </w:r>
    </w:p>
    <w:p w:rsidRPr="00163D0E" w:rsidR="006D50A5" w:rsidP="006D50A5" w:rsidRDefault="006D50A5" w14:paraId="003CBE02" w14:textId="77777777">
      <w:pPr>
        <w:pStyle w:val="ListParagraph"/>
        <w:rPr>
          <w:rFonts w:ascii="Times New Roman" w:hAnsi="Times New Roman" w:cs="Times New Roman"/>
        </w:rPr>
      </w:pPr>
    </w:p>
    <w:p w:rsidRPr="00163D0E" w:rsidR="006D50A5" w:rsidP="00594F05" w:rsidRDefault="006D50A5" w14:paraId="05E0ED8C" w14:textId="541B0F23">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There was initially a dispute with </w:t>
      </w:r>
      <w:r w:rsidR="00CE0492">
        <w:rPr>
          <w:rFonts w:ascii="Times New Roman" w:hAnsi="Times New Roman" w:cs="Times New Roman"/>
        </w:rPr>
        <w:t xml:space="preserve">the agent, </w:t>
      </w:r>
      <w:r w:rsidRPr="00163D0E">
        <w:rPr>
          <w:rFonts w:ascii="Times New Roman" w:hAnsi="Times New Roman" w:cs="Times New Roman"/>
        </w:rPr>
        <w:t>Carter Jonas</w:t>
      </w:r>
      <w:r w:rsidR="00CE0492">
        <w:rPr>
          <w:rFonts w:ascii="Times New Roman" w:hAnsi="Times New Roman" w:cs="Times New Roman"/>
        </w:rPr>
        <w:t>,</w:t>
      </w:r>
      <w:r w:rsidRPr="00163D0E">
        <w:rPr>
          <w:rFonts w:ascii="Times New Roman" w:hAnsi="Times New Roman" w:cs="Times New Roman"/>
        </w:rPr>
        <w:t xml:space="preserve"> as to Carter Jonas’ fees. The Council</w:t>
      </w:r>
      <w:r w:rsidR="00CE0492">
        <w:rPr>
          <w:rFonts w:ascii="Times New Roman" w:hAnsi="Times New Roman" w:cs="Times New Roman"/>
        </w:rPr>
        <w:t>, quite reasonably,</w:t>
      </w:r>
      <w:r w:rsidRPr="00163D0E">
        <w:rPr>
          <w:rFonts w:ascii="Times New Roman" w:hAnsi="Times New Roman" w:cs="Times New Roman"/>
        </w:rPr>
        <w:t xml:space="preserve"> had an agreed hourly rate and budget, with a phased stage review, to accommodate fees</w:t>
      </w:r>
      <w:r w:rsidR="00CE0492">
        <w:rPr>
          <w:rFonts w:ascii="Times New Roman" w:hAnsi="Times New Roman" w:cs="Times New Roman"/>
        </w:rPr>
        <w:t>. This</w:t>
      </w:r>
      <w:r w:rsidRPr="00163D0E">
        <w:rPr>
          <w:rFonts w:ascii="Times New Roman" w:hAnsi="Times New Roman" w:cs="Times New Roman"/>
        </w:rPr>
        <w:t xml:space="preserve"> was an arrangement acceptable to all other agents negotiating </w:t>
      </w:r>
      <w:r w:rsidR="00257363">
        <w:rPr>
          <w:rFonts w:ascii="Times New Roman" w:hAnsi="Times New Roman" w:cs="Times New Roman"/>
        </w:rPr>
        <w:t xml:space="preserve">in respect of </w:t>
      </w:r>
      <w:r w:rsidRPr="00163D0E">
        <w:rPr>
          <w:rFonts w:ascii="Times New Roman" w:hAnsi="Times New Roman" w:cs="Times New Roman"/>
        </w:rPr>
        <w:t xml:space="preserve">the CPO. Carter Jonas would not accept the fee proposal offered. The Council provided evidence as to comparable fees on CPOs in Blackpool, </w:t>
      </w:r>
      <w:proofErr w:type="gramStart"/>
      <w:r w:rsidRPr="00163D0E">
        <w:rPr>
          <w:rFonts w:ascii="Times New Roman" w:hAnsi="Times New Roman" w:cs="Times New Roman"/>
        </w:rPr>
        <w:t>and also</w:t>
      </w:r>
      <w:proofErr w:type="gramEnd"/>
      <w:r w:rsidRPr="00163D0E">
        <w:rPr>
          <w:rFonts w:ascii="Times New Roman" w:hAnsi="Times New Roman" w:cs="Times New Roman"/>
        </w:rPr>
        <w:t xml:space="preserve"> undertook a benchmarking exercise with CPO surveyors to move matters forward. This was ultimately accepted by Carter Jonas, and negotiations were able to proceed. This is</w:t>
      </w:r>
      <w:r w:rsidR="00216458">
        <w:rPr>
          <w:rFonts w:ascii="Times New Roman" w:hAnsi="Times New Roman" w:cs="Times New Roman"/>
        </w:rPr>
        <w:t xml:space="preserve">, therefore, </w:t>
      </w:r>
      <w:proofErr w:type="gramStart"/>
      <w:r w:rsidR="00216458">
        <w:rPr>
          <w:rFonts w:ascii="Times New Roman" w:hAnsi="Times New Roman" w:cs="Times New Roman"/>
        </w:rPr>
        <w:t>in reality</w:t>
      </w:r>
      <w:r w:rsidRPr="00163D0E">
        <w:rPr>
          <w:rFonts w:ascii="Times New Roman" w:hAnsi="Times New Roman" w:cs="Times New Roman"/>
        </w:rPr>
        <w:t xml:space="preserve"> a</w:t>
      </w:r>
      <w:proofErr w:type="gramEnd"/>
      <w:r w:rsidRPr="00163D0E">
        <w:rPr>
          <w:rFonts w:ascii="Times New Roman" w:hAnsi="Times New Roman" w:cs="Times New Roman"/>
        </w:rPr>
        <w:t xml:space="preserve"> further example of the Council taking proactive steps to move negotiations forward.</w:t>
      </w:r>
    </w:p>
    <w:p w:rsidRPr="00163D0E" w:rsidR="006D50A5" w:rsidP="006D50A5" w:rsidRDefault="006D50A5" w14:paraId="2105B8F3" w14:textId="77777777">
      <w:pPr>
        <w:pStyle w:val="ListParagraph"/>
        <w:rPr>
          <w:rFonts w:ascii="Times New Roman" w:hAnsi="Times New Roman" w:cs="Times New Roman"/>
        </w:rPr>
      </w:pPr>
    </w:p>
    <w:p w:rsidRPr="00163D0E" w:rsidR="0013577A" w:rsidP="00594F05" w:rsidRDefault="0013577A" w14:paraId="4F3C73C0" w14:textId="579164E5">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 objector’s agents inspected the property two weeks ago, The Council requested that they might accompany them – this was initially agreed and then the day prior to the inspection, the Council was denied access</w:t>
      </w:r>
      <w:r w:rsidRPr="00163D0E" w:rsidR="006D50A5">
        <w:rPr>
          <w:rFonts w:ascii="Times New Roman" w:hAnsi="Times New Roman" w:cs="Times New Roman"/>
        </w:rPr>
        <w:t xml:space="preserve"> at the 11</w:t>
      </w:r>
      <w:r w:rsidRPr="00163D0E" w:rsidR="006D50A5">
        <w:rPr>
          <w:rFonts w:ascii="Times New Roman" w:hAnsi="Times New Roman" w:cs="Times New Roman"/>
          <w:vertAlign w:val="superscript"/>
        </w:rPr>
        <w:t>th</w:t>
      </w:r>
      <w:r w:rsidRPr="00163D0E" w:rsidR="006D50A5">
        <w:rPr>
          <w:rFonts w:ascii="Times New Roman" w:hAnsi="Times New Roman" w:cs="Times New Roman"/>
        </w:rPr>
        <w:t xml:space="preserve"> hour</w:t>
      </w:r>
      <w:r w:rsidRPr="00163D0E">
        <w:rPr>
          <w:rFonts w:ascii="Times New Roman" w:hAnsi="Times New Roman" w:cs="Times New Roman"/>
        </w:rPr>
        <w:t xml:space="preserve">. The Council is waiting for a counter – offer from Carter Jonas, which has not yet been received. </w:t>
      </w:r>
      <w:r w:rsidRPr="00163D0E" w:rsidR="006D50A5">
        <w:rPr>
          <w:rFonts w:ascii="Times New Roman" w:hAnsi="Times New Roman" w:cs="Times New Roman"/>
        </w:rPr>
        <w:t>In the absence of a counter – offer, the Council does not know the objector’s position as to value, other than that they “don’t agree” with the Council’s valuation. Nevertheless, the Council continues to attempt to engage with this objector. Indeed, TY noted that the Council is in contact with Carter Jonas every few days, with the last contact being yesterday (2</w:t>
      </w:r>
      <w:r w:rsidRPr="00163D0E" w:rsidR="006D50A5">
        <w:rPr>
          <w:rFonts w:ascii="Times New Roman" w:hAnsi="Times New Roman" w:cs="Times New Roman"/>
          <w:vertAlign w:val="superscript"/>
        </w:rPr>
        <w:t>nd</w:t>
      </w:r>
      <w:r w:rsidRPr="00163D0E" w:rsidR="006D50A5">
        <w:rPr>
          <w:rFonts w:ascii="Times New Roman" w:hAnsi="Times New Roman" w:cs="Times New Roman"/>
        </w:rPr>
        <w:t xml:space="preserve"> December 2024). Carter Jonas is aware that the Council is awaiting their response, and negotiations will continue</w:t>
      </w:r>
    </w:p>
    <w:p w:rsidRPr="00163D0E" w:rsidR="006D50A5" w:rsidP="006D50A5" w:rsidRDefault="006D50A5" w14:paraId="66BDDA2F" w14:textId="77777777">
      <w:pPr>
        <w:pStyle w:val="ListParagraph"/>
        <w:rPr>
          <w:rFonts w:ascii="Times New Roman" w:hAnsi="Times New Roman" w:cs="Times New Roman"/>
        </w:rPr>
      </w:pPr>
    </w:p>
    <w:p w:rsidRPr="00163D0E" w:rsidR="006D50A5" w:rsidP="00594F05" w:rsidRDefault="006D50A5" w14:paraId="16EB94F3" w14:textId="1969C36B">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Thus, whilst agreement has not been reached, it is clear that negotiation has been meaningful, and that the Council has taken all reasonable steps to acquire th</w:t>
      </w:r>
      <w:r w:rsidR="00216458">
        <w:rPr>
          <w:rFonts w:ascii="Times New Roman" w:hAnsi="Times New Roman" w:cs="Times New Roman"/>
        </w:rPr>
        <w:t>is</w:t>
      </w:r>
      <w:r w:rsidRPr="00163D0E">
        <w:rPr>
          <w:rFonts w:ascii="Times New Roman" w:hAnsi="Times New Roman" w:cs="Times New Roman"/>
        </w:rPr>
        <w:t xml:space="preserve"> property by agreement.</w:t>
      </w:r>
    </w:p>
    <w:p w:rsidRPr="00163D0E" w:rsidR="006D50A5" w:rsidP="006D50A5" w:rsidRDefault="006D50A5" w14:paraId="0A9C0908" w14:textId="77777777">
      <w:pPr>
        <w:pStyle w:val="ListParagraph"/>
        <w:rPr>
          <w:rFonts w:ascii="Times New Roman" w:hAnsi="Times New Roman" w:cs="Times New Roman"/>
        </w:rPr>
      </w:pPr>
    </w:p>
    <w:p w:rsidRPr="00163D0E" w:rsidR="006D50A5" w:rsidP="006D50A5" w:rsidRDefault="006D50A5" w14:paraId="4DECA5A8" w14:textId="203FDE5C">
      <w:pPr>
        <w:spacing w:line="360" w:lineRule="auto"/>
        <w:rPr>
          <w:rFonts w:ascii="Times New Roman" w:hAnsi="Times New Roman" w:cs="Times New Roman"/>
          <w:u w:val="single"/>
        </w:rPr>
      </w:pPr>
      <w:r w:rsidRPr="00163D0E">
        <w:rPr>
          <w:rFonts w:ascii="Times New Roman" w:hAnsi="Times New Roman" w:cs="Times New Roman"/>
          <w:u w:val="single"/>
        </w:rPr>
        <w:t>Mr. Marchant: No. 42 Cookson Street</w:t>
      </w:r>
    </w:p>
    <w:p w:rsidRPr="00163D0E" w:rsidR="006D50A5" w:rsidP="00594F05" w:rsidRDefault="006D50A5" w14:paraId="7D9D9F16" w14:textId="3F1B3FF4">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Agreement has been reached </w:t>
      </w:r>
      <w:r w:rsidR="00216458">
        <w:rPr>
          <w:rFonts w:ascii="Times New Roman" w:hAnsi="Times New Roman" w:cs="Times New Roman"/>
        </w:rPr>
        <w:t>with</w:t>
      </w:r>
      <w:r w:rsidRPr="00163D0E">
        <w:rPr>
          <w:rFonts w:ascii="Times New Roman" w:hAnsi="Times New Roman" w:cs="Times New Roman"/>
        </w:rPr>
        <w:t xml:space="preserve"> the freehold owner in respect of this property.</w:t>
      </w:r>
    </w:p>
    <w:p w:rsidRPr="00163D0E" w:rsidR="006D50A5" w:rsidP="006D50A5" w:rsidRDefault="006D50A5" w14:paraId="72828CE0" w14:textId="77777777">
      <w:pPr>
        <w:pStyle w:val="ListParagraph"/>
        <w:spacing w:line="360" w:lineRule="auto"/>
        <w:rPr>
          <w:rFonts w:ascii="Times New Roman" w:hAnsi="Times New Roman" w:cs="Times New Roman"/>
        </w:rPr>
      </w:pPr>
    </w:p>
    <w:p w:rsidR="00216458" w:rsidP="00216458" w:rsidRDefault="006D50A5" w14:paraId="66ACC502" w14:textId="0162B54D">
      <w:pPr>
        <w:pStyle w:val="ListParagraph"/>
        <w:numPr>
          <w:ilvl w:val="0"/>
          <w:numId w:val="1"/>
        </w:numPr>
        <w:spacing w:line="360" w:lineRule="auto"/>
        <w:rPr>
          <w:rFonts w:ascii="Times New Roman" w:hAnsi="Times New Roman" w:cs="Times New Roman"/>
        </w:rPr>
      </w:pPr>
      <w:r w:rsidRPr="00216458">
        <w:rPr>
          <w:rFonts w:ascii="Times New Roman" w:hAnsi="Times New Roman" w:cs="Times New Roman"/>
        </w:rPr>
        <w:t xml:space="preserve">Mr. Marchant has submitted a late objection on the basis that he has a lifetime regulated tenancy agreement that allows him to live at the property for the duration of his lifetime for a “fair rent” pursuant to the Rent Act 1977. The objection, made on his behalf by </w:t>
      </w:r>
      <w:r w:rsidR="00CE0492">
        <w:rPr>
          <w:rFonts w:ascii="Times New Roman" w:hAnsi="Times New Roman" w:cs="Times New Roman"/>
        </w:rPr>
        <w:t xml:space="preserve">his agent, </w:t>
      </w:r>
      <w:r w:rsidRPr="00216458">
        <w:rPr>
          <w:rFonts w:ascii="Times New Roman" w:hAnsi="Times New Roman" w:cs="Times New Roman"/>
        </w:rPr>
        <w:t>Gatel</w:t>
      </w:r>
      <w:r w:rsidR="00257363">
        <w:rPr>
          <w:rFonts w:ascii="Times New Roman" w:hAnsi="Times New Roman" w:cs="Times New Roman"/>
        </w:rPr>
        <w:t>e</w:t>
      </w:r>
      <w:r w:rsidRPr="00216458">
        <w:rPr>
          <w:rFonts w:ascii="Times New Roman" w:hAnsi="Times New Roman" w:cs="Times New Roman"/>
        </w:rPr>
        <w:t xml:space="preserve">y Hamer, appears to </w:t>
      </w:r>
      <w:r w:rsidR="00CE0492">
        <w:rPr>
          <w:rFonts w:ascii="Times New Roman" w:hAnsi="Times New Roman" w:cs="Times New Roman"/>
        </w:rPr>
        <w:t xml:space="preserve">be </w:t>
      </w:r>
      <w:r w:rsidRPr="00216458" w:rsidR="00216458">
        <w:rPr>
          <w:rFonts w:ascii="Times New Roman" w:hAnsi="Times New Roman" w:cs="Times New Roman"/>
        </w:rPr>
        <w:t>advanced</w:t>
      </w:r>
      <w:r w:rsidRPr="00216458">
        <w:rPr>
          <w:rFonts w:ascii="Times New Roman" w:hAnsi="Times New Roman" w:cs="Times New Roman"/>
        </w:rPr>
        <w:t xml:space="preserve"> on the basis that the Council failed to carry out “due diligence” to discover </w:t>
      </w:r>
      <w:r w:rsidRPr="00216458" w:rsidR="00216458">
        <w:rPr>
          <w:rFonts w:ascii="Times New Roman" w:hAnsi="Times New Roman" w:cs="Times New Roman"/>
        </w:rPr>
        <w:t>his</w:t>
      </w:r>
      <w:r w:rsidRPr="00216458">
        <w:rPr>
          <w:rFonts w:ascii="Times New Roman" w:hAnsi="Times New Roman" w:cs="Times New Roman"/>
        </w:rPr>
        <w:t xml:space="preserve"> interest</w:t>
      </w:r>
      <w:r w:rsidRPr="00216458" w:rsidR="00216458">
        <w:rPr>
          <w:rFonts w:ascii="Times New Roman" w:hAnsi="Times New Roman" w:cs="Times New Roman"/>
        </w:rPr>
        <w:t xml:space="preserve"> sooner</w:t>
      </w:r>
      <w:r w:rsidR="00216458">
        <w:rPr>
          <w:rFonts w:ascii="Times New Roman" w:hAnsi="Times New Roman" w:cs="Times New Roman"/>
        </w:rPr>
        <w:t>.</w:t>
      </w:r>
    </w:p>
    <w:p w:rsidRPr="00216458" w:rsidR="00216458" w:rsidP="00216458" w:rsidRDefault="00216458" w14:paraId="2B7EC243" w14:textId="77777777">
      <w:pPr>
        <w:pStyle w:val="ListParagraph"/>
        <w:rPr>
          <w:rFonts w:ascii="Times New Roman" w:hAnsi="Times New Roman" w:cs="Times New Roman"/>
        </w:rPr>
      </w:pPr>
    </w:p>
    <w:p w:rsidRPr="00216458" w:rsidR="006D50A5" w:rsidP="00216458" w:rsidRDefault="006D50A5" w14:paraId="213EE639" w14:textId="340E3A26">
      <w:pPr>
        <w:pStyle w:val="ListParagraph"/>
        <w:numPr>
          <w:ilvl w:val="0"/>
          <w:numId w:val="1"/>
        </w:numPr>
        <w:spacing w:line="360" w:lineRule="auto"/>
        <w:rPr>
          <w:rFonts w:ascii="Times New Roman" w:hAnsi="Times New Roman" w:cs="Times New Roman"/>
        </w:rPr>
      </w:pPr>
      <w:r w:rsidRPr="00216458">
        <w:rPr>
          <w:rFonts w:ascii="Times New Roman" w:hAnsi="Times New Roman" w:cs="Times New Roman"/>
        </w:rPr>
        <w:t xml:space="preserve">That allegation is disputed. The Council carried out searches of the </w:t>
      </w:r>
      <w:r w:rsidR="00216458">
        <w:rPr>
          <w:rFonts w:ascii="Times New Roman" w:hAnsi="Times New Roman" w:cs="Times New Roman"/>
        </w:rPr>
        <w:t>L</w:t>
      </w:r>
      <w:r w:rsidRPr="00216458">
        <w:rPr>
          <w:rFonts w:ascii="Times New Roman" w:hAnsi="Times New Roman" w:cs="Times New Roman"/>
        </w:rPr>
        <w:t xml:space="preserve">and </w:t>
      </w:r>
      <w:r w:rsidR="00216458">
        <w:rPr>
          <w:rFonts w:ascii="Times New Roman" w:hAnsi="Times New Roman" w:cs="Times New Roman"/>
        </w:rPr>
        <w:t>R</w:t>
      </w:r>
      <w:r w:rsidRPr="00216458">
        <w:rPr>
          <w:rFonts w:ascii="Times New Roman" w:hAnsi="Times New Roman" w:cs="Times New Roman"/>
        </w:rPr>
        <w:t xml:space="preserve">egistry and </w:t>
      </w:r>
      <w:r w:rsidR="00216458">
        <w:rPr>
          <w:rFonts w:ascii="Times New Roman" w:hAnsi="Times New Roman" w:cs="Times New Roman"/>
        </w:rPr>
        <w:t>instructed a</w:t>
      </w:r>
      <w:r w:rsidR="00D93D8C">
        <w:rPr>
          <w:rFonts w:ascii="Times New Roman" w:hAnsi="Times New Roman" w:cs="Times New Roman"/>
        </w:rPr>
        <w:t xml:space="preserve"> specialist</w:t>
      </w:r>
      <w:r w:rsidRPr="00216458">
        <w:rPr>
          <w:rFonts w:ascii="Times New Roman" w:hAnsi="Times New Roman" w:cs="Times New Roman"/>
        </w:rPr>
        <w:t xml:space="preserve"> land referencing </w:t>
      </w:r>
      <w:r w:rsidR="00D93D8C">
        <w:rPr>
          <w:rFonts w:ascii="Times New Roman" w:hAnsi="Times New Roman" w:cs="Times New Roman"/>
        </w:rPr>
        <w:t xml:space="preserve">firm to undertake a land referencing </w:t>
      </w:r>
      <w:r w:rsidR="00216458">
        <w:rPr>
          <w:rFonts w:ascii="Times New Roman" w:hAnsi="Times New Roman" w:cs="Times New Roman"/>
        </w:rPr>
        <w:t xml:space="preserve">exercise </w:t>
      </w:r>
      <w:r w:rsidRPr="00216458">
        <w:rPr>
          <w:rFonts w:ascii="Times New Roman" w:hAnsi="Times New Roman" w:cs="Times New Roman"/>
        </w:rPr>
        <w:t>for the property, and Mr. Marchant’s interest was not revealed. The Council then asked both the landlord and Mr. Marchant for a copy of Mr. Marchant’s lease, so that they could fully understand the nature of his interest. This was not provided. Indeed, Mr. Marchant informed the Council that his most recent lease was from 2020, although he was unable to provide a copy of the same</w:t>
      </w:r>
      <w:r w:rsidRPr="00163D0E">
        <w:rPr>
          <w:rStyle w:val="FootnoteReference"/>
          <w:rFonts w:ascii="Times New Roman" w:hAnsi="Times New Roman" w:cs="Times New Roman"/>
        </w:rPr>
        <w:footnoteReference w:id="105"/>
      </w:r>
      <w:r w:rsidRPr="00216458">
        <w:rPr>
          <w:rFonts w:ascii="Times New Roman" w:hAnsi="Times New Roman" w:cs="Times New Roman"/>
        </w:rPr>
        <w:t>.</w:t>
      </w:r>
      <w:r w:rsidR="00216458">
        <w:rPr>
          <w:rFonts w:ascii="Times New Roman" w:hAnsi="Times New Roman" w:cs="Times New Roman"/>
        </w:rPr>
        <w:t xml:space="preserve"> There was simply no reasonable indication that Mr. Marchant benefited from a protected tenancy, including from Mr. Marchant.</w:t>
      </w:r>
    </w:p>
    <w:p w:rsidRPr="00163D0E" w:rsidR="006D50A5" w:rsidP="006D50A5" w:rsidRDefault="006D50A5" w14:paraId="1045C6E8" w14:textId="77777777">
      <w:pPr>
        <w:pStyle w:val="ListParagraph"/>
        <w:rPr>
          <w:rFonts w:ascii="Times New Roman" w:hAnsi="Times New Roman" w:cs="Times New Roman"/>
        </w:rPr>
      </w:pPr>
    </w:p>
    <w:p w:rsidRPr="00163D0E" w:rsidR="006D50A5" w:rsidP="00594F05" w:rsidRDefault="006D50A5" w14:paraId="25DFA8DA" w14:textId="7ADD8519">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Gatel</w:t>
      </w:r>
      <w:r w:rsidR="00257363">
        <w:rPr>
          <w:rFonts w:ascii="Times New Roman" w:hAnsi="Times New Roman" w:cs="Times New Roman"/>
        </w:rPr>
        <w:t>e</w:t>
      </w:r>
      <w:r w:rsidRPr="00163D0E">
        <w:rPr>
          <w:rFonts w:ascii="Times New Roman" w:hAnsi="Times New Roman" w:cs="Times New Roman"/>
        </w:rPr>
        <w:t>y Hamer only confirmed their formal instruction to act for Mr. Marchant on 22</w:t>
      </w:r>
      <w:r w:rsidRPr="00163D0E">
        <w:rPr>
          <w:rFonts w:ascii="Times New Roman" w:hAnsi="Times New Roman" w:cs="Times New Roman"/>
          <w:vertAlign w:val="superscript"/>
        </w:rPr>
        <w:t>nd</w:t>
      </w:r>
      <w:r w:rsidRPr="00163D0E">
        <w:rPr>
          <w:rFonts w:ascii="Times New Roman" w:hAnsi="Times New Roman" w:cs="Times New Roman"/>
        </w:rPr>
        <w:t xml:space="preserve"> October, and then, following their instruction, provided a copy of the 1986 lease on 7</w:t>
      </w:r>
      <w:r w:rsidRPr="00163D0E">
        <w:rPr>
          <w:rFonts w:ascii="Times New Roman" w:hAnsi="Times New Roman" w:cs="Times New Roman"/>
          <w:vertAlign w:val="superscript"/>
        </w:rPr>
        <w:t>th</w:t>
      </w:r>
      <w:r w:rsidRPr="00163D0E">
        <w:rPr>
          <w:rFonts w:ascii="Times New Roman" w:hAnsi="Times New Roman" w:cs="Times New Roman"/>
        </w:rPr>
        <w:t xml:space="preserve"> November 2024</w:t>
      </w:r>
      <w:r w:rsidR="00D93D8C">
        <w:rPr>
          <w:rFonts w:ascii="Times New Roman" w:hAnsi="Times New Roman" w:cs="Times New Roman"/>
        </w:rPr>
        <w:t xml:space="preserve">. </w:t>
      </w:r>
      <w:r w:rsidRPr="00163D0E">
        <w:rPr>
          <w:rFonts w:ascii="Times New Roman" w:hAnsi="Times New Roman" w:cs="Times New Roman"/>
        </w:rPr>
        <w:t>The Council could, self – evidently, not negotiate or accept information from Gatel</w:t>
      </w:r>
      <w:r w:rsidR="00257363">
        <w:rPr>
          <w:rFonts w:ascii="Times New Roman" w:hAnsi="Times New Roman" w:cs="Times New Roman"/>
        </w:rPr>
        <w:t>e</w:t>
      </w:r>
      <w:r w:rsidRPr="00163D0E">
        <w:rPr>
          <w:rFonts w:ascii="Times New Roman" w:hAnsi="Times New Roman" w:cs="Times New Roman"/>
        </w:rPr>
        <w:t>y Hamer on Mr. Marchant’s behalf until they were formally instructed, but as soon as they were and they had provided the relevant documentation, proactive steps were taken</w:t>
      </w:r>
      <w:r w:rsidR="00216458">
        <w:rPr>
          <w:rFonts w:ascii="Times New Roman" w:hAnsi="Times New Roman" w:cs="Times New Roman"/>
        </w:rPr>
        <w:t xml:space="preserve"> by the Council</w:t>
      </w:r>
      <w:r w:rsidRPr="00163D0E">
        <w:rPr>
          <w:rFonts w:ascii="Times New Roman" w:hAnsi="Times New Roman" w:cs="Times New Roman"/>
        </w:rPr>
        <w:t xml:space="preserve"> to negotiate an agreement for the property. As noted by TY in evidence, there have been repeated offers and counter offers since that date, and the parties have also met. Indeed, it is accepted in the objector’s most recent letter (2</w:t>
      </w:r>
      <w:r w:rsidRPr="00163D0E">
        <w:rPr>
          <w:rFonts w:ascii="Times New Roman" w:hAnsi="Times New Roman" w:cs="Times New Roman"/>
          <w:vertAlign w:val="superscript"/>
        </w:rPr>
        <w:t>nd</w:t>
      </w:r>
      <w:r w:rsidRPr="00163D0E">
        <w:rPr>
          <w:rFonts w:ascii="Times New Roman" w:hAnsi="Times New Roman" w:cs="Times New Roman"/>
        </w:rPr>
        <w:t xml:space="preserve"> December 2024) </w:t>
      </w:r>
      <w:r w:rsidR="00216458">
        <w:rPr>
          <w:rFonts w:ascii="Times New Roman" w:hAnsi="Times New Roman" w:cs="Times New Roman"/>
        </w:rPr>
        <w:t>that</w:t>
      </w:r>
      <w:r w:rsidR="00CE0492">
        <w:rPr>
          <w:rFonts w:ascii="Times New Roman" w:hAnsi="Times New Roman" w:cs="Times New Roman"/>
        </w:rPr>
        <w:t xml:space="preserve"> </w:t>
      </w:r>
      <w:r w:rsidRPr="00163D0E">
        <w:rPr>
          <w:rFonts w:ascii="Times New Roman" w:hAnsi="Times New Roman" w:cs="Times New Roman"/>
          <w:i/>
          <w:iCs/>
        </w:rPr>
        <w:t xml:space="preserve">“an agreement in principle has almost been reached in respect of compensation matters”. </w:t>
      </w:r>
    </w:p>
    <w:p w:rsidRPr="00163D0E" w:rsidR="006D50A5" w:rsidP="006D50A5" w:rsidRDefault="006D50A5" w14:paraId="22123640" w14:textId="77777777">
      <w:pPr>
        <w:pStyle w:val="ListParagraph"/>
        <w:rPr>
          <w:rFonts w:ascii="Times New Roman" w:hAnsi="Times New Roman" w:cs="Times New Roman"/>
        </w:rPr>
      </w:pPr>
    </w:p>
    <w:p w:rsidRPr="00163D0E" w:rsidR="006D50A5" w:rsidP="00594F05" w:rsidRDefault="006D50A5" w14:paraId="1D5120A2" w14:textId="7777777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objection is also made on the basis that the Council has failed to </w:t>
      </w:r>
      <w:proofErr w:type="gramStart"/>
      <w:r w:rsidRPr="00163D0E">
        <w:rPr>
          <w:rFonts w:ascii="Times New Roman" w:hAnsi="Times New Roman" w:cs="Times New Roman"/>
        </w:rPr>
        <w:t>give adequate consideration to</w:t>
      </w:r>
      <w:proofErr w:type="gramEnd"/>
      <w:r w:rsidRPr="00163D0E">
        <w:rPr>
          <w:rFonts w:ascii="Times New Roman" w:hAnsi="Times New Roman" w:cs="Times New Roman"/>
        </w:rPr>
        <w:t xml:space="preserve"> Mr. Marchant’s relocation requirements, in particular having regard to his age and mobility difficulties, and his existing support network in the local area. </w:t>
      </w:r>
    </w:p>
    <w:p w:rsidRPr="00163D0E" w:rsidR="006D50A5" w:rsidP="006D50A5" w:rsidRDefault="006D50A5" w14:paraId="4C5D95AE" w14:textId="77777777">
      <w:pPr>
        <w:pStyle w:val="ListParagraph"/>
        <w:rPr>
          <w:rFonts w:ascii="Times New Roman" w:hAnsi="Times New Roman" w:cs="Times New Roman"/>
        </w:rPr>
      </w:pPr>
    </w:p>
    <w:p w:rsidRPr="00163D0E" w:rsidR="006D50A5" w:rsidP="00594F05" w:rsidRDefault="006D50A5" w14:paraId="34FE967A" w14:textId="6C7FB666">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Again, the agent’s characterisation of this issue is not accepted by the Council.</w:t>
      </w:r>
    </w:p>
    <w:p w:rsidRPr="00163D0E" w:rsidR="006D50A5" w:rsidP="006D50A5" w:rsidRDefault="006D50A5" w14:paraId="311056E6" w14:textId="77777777">
      <w:pPr>
        <w:pStyle w:val="ListParagraph"/>
        <w:rPr>
          <w:rFonts w:ascii="Times New Roman" w:hAnsi="Times New Roman" w:cs="Times New Roman"/>
        </w:rPr>
      </w:pPr>
    </w:p>
    <w:p w:rsidRPr="00163D0E" w:rsidR="006D50A5" w:rsidP="00594F05" w:rsidRDefault="006D50A5" w14:paraId="214C4561" w14:textId="12AEA15B">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As set out in the evidence of KA, Mr. Marchant first contacted the </w:t>
      </w:r>
      <w:r w:rsidR="00216458">
        <w:rPr>
          <w:rFonts w:ascii="Times New Roman" w:hAnsi="Times New Roman" w:cs="Times New Roman"/>
        </w:rPr>
        <w:t>I</w:t>
      </w:r>
      <w:r w:rsidRPr="00163D0E">
        <w:rPr>
          <w:rFonts w:ascii="Times New Roman" w:hAnsi="Times New Roman" w:cs="Times New Roman"/>
        </w:rPr>
        <w:t>nfusion team at one of the Council’s drop-in sessions (above). At that time, he was planning to make an independent and unsupported move to alternative accommodation. Mr. Marchant was not looking for support in relation to relocation, but simply to understand more about what he might be entitled to. In subsequent conversations with Infusion, Mr. Marchant</w:t>
      </w:r>
      <w:r w:rsidR="00216458">
        <w:rPr>
          <w:rFonts w:ascii="Times New Roman" w:hAnsi="Times New Roman" w:cs="Times New Roman"/>
        </w:rPr>
        <w:t xml:space="preserve"> again</w:t>
      </w:r>
      <w:r w:rsidRPr="00163D0E">
        <w:rPr>
          <w:rFonts w:ascii="Times New Roman" w:hAnsi="Times New Roman" w:cs="Times New Roman"/>
        </w:rPr>
        <w:t xml:space="preserve"> confirmed that he was pursuing an option for relocation in the private sector, owned by someone that he knew</w:t>
      </w:r>
      <w:r w:rsidR="00216458">
        <w:rPr>
          <w:rFonts w:ascii="Times New Roman" w:hAnsi="Times New Roman" w:cs="Times New Roman"/>
        </w:rPr>
        <w:t>, and which he considered</w:t>
      </w:r>
      <w:r w:rsidRPr="00163D0E">
        <w:rPr>
          <w:rFonts w:ascii="Times New Roman" w:hAnsi="Times New Roman" w:cs="Times New Roman"/>
        </w:rPr>
        <w:t xml:space="preserve"> could accommodate his preferences (2 beds) and requirements (ground floor). </w:t>
      </w:r>
    </w:p>
    <w:p w:rsidRPr="00163D0E" w:rsidR="006D50A5" w:rsidP="006D50A5" w:rsidRDefault="006D50A5" w14:paraId="060E5596" w14:textId="77777777">
      <w:pPr>
        <w:pStyle w:val="ListParagraph"/>
        <w:rPr>
          <w:rFonts w:ascii="Times New Roman" w:hAnsi="Times New Roman" w:cs="Times New Roman"/>
        </w:rPr>
      </w:pPr>
    </w:p>
    <w:p w:rsidRPr="00163D0E" w:rsidR="006D50A5" w:rsidP="00594F05" w:rsidRDefault="006D50A5" w14:paraId="5326FA9F" w14:textId="71039FFC">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It is only since Gatel</w:t>
      </w:r>
      <w:r w:rsidR="00DD3256">
        <w:rPr>
          <w:rFonts w:ascii="Times New Roman" w:hAnsi="Times New Roman" w:cs="Times New Roman"/>
        </w:rPr>
        <w:t>e</w:t>
      </w:r>
      <w:r w:rsidRPr="00163D0E">
        <w:rPr>
          <w:rFonts w:ascii="Times New Roman" w:hAnsi="Times New Roman" w:cs="Times New Roman"/>
        </w:rPr>
        <w:t>y Hamer have been instructed that Mr. Marchant has indicated that a move to private rented accommodation would be unacceptable to him, and that he would wish to explore social housing options. Upon Mr. Marchant’s stated requirements changing, the Council has acted quickly and efficiently to assist him. Mr. Marchant has been</w:t>
      </w:r>
      <w:r w:rsidR="00216458">
        <w:rPr>
          <w:rFonts w:ascii="Times New Roman" w:hAnsi="Times New Roman" w:cs="Times New Roman"/>
        </w:rPr>
        <w:t xml:space="preserve"> assessed and</w:t>
      </w:r>
      <w:r w:rsidRPr="00163D0E">
        <w:rPr>
          <w:rFonts w:ascii="Times New Roman" w:hAnsi="Times New Roman" w:cs="Times New Roman"/>
        </w:rPr>
        <w:t xml:space="preserve"> placed on the “priority list” for social housing, which means that he can bid through the housing options system for properties that might be suitable for him. It is of course a matter for Mr. Marchant to decide whether he </w:t>
      </w:r>
      <w:r w:rsidRPr="00163D0E">
        <w:rPr>
          <w:rFonts w:ascii="Times New Roman" w:hAnsi="Times New Roman" w:cs="Times New Roman"/>
          <w:u w:val="single"/>
        </w:rPr>
        <w:t>wishes</w:t>
      </w:r>
      <w:r w:rsidRPr="00163D0E">
        <w:rPr>
          <w:rFonts w:ascii="Times New Roman" w:hAnsi="Times New Roman" w:cs="Times New Roman"/>
        </w:rPr>
        <w:t xml:space="preserve"> to bid for any particular property, however, Ms. Aldridge confirmed in evidence that there are properties available that could accommodate his specific </w:t>
      </w:r>
      <w:r w:rsidRPr="00163D0E">
        <w:rPr>
          <w:rFonts w:ascii="Times New Roman" w:hAnsi="Times New Roman" w:cs="Times New Roman"/>
          <w:u w:val="single"/>
        </w:rPr>
        <w:t>needs</w:t>
      </w:r>
      <w:r w:rsidRPr="00163D0E">
        <w:rPr>
          <w:rFonts w:ascii="Times New Roman" w:hAnsi="Times New Roman" w:cs="Times New Roman"/>
        </w:rPr>
        <w:t xml:space="preserve"> (particularly, age and mobility issues). Indeed, the objector’s statement of case recognises that </w:t>
      </w:r>
      <w:r w:rsidRPr="00163D0E">
        <w:rPr>
          <w:rFonts w:ascii="Times New Roman" w:hAnsi="Times New Roman" w:cs="Times New Roman"/>
          <w:i/>
          <w:iCs/>
        </w:rPr>
        <w:t>“it is now true to say that the Council has engaged over his relocation”.</w:t>
      </w:r>
    </w:p>
    <w:p w:rsidRPr="00163D0E" w:rsidR="006D50A5" w:rsidP="006D50A5" w:rsidRDefault="006D50A5" w14:paraId="48A48ADC" w14:textId="77777777">
      <w:pPr>
        <w:pStyle w:val="ListParagraph"/>
        <w:rPr>
          <w:rFonts w:ascii="Times New Roman" w:hAnsi="Times New Roman" w:cs="Times New Roman"/>
        </w:rPr>
      </w:pPr>
    </w:p>
    <w:p w:rsidR="00216458" w:rsidP="00216458" w:rsidRDefault="006D50A5" w14:paraId="722C4A3D" w14:textId="149EF658">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It is evident from the above that the Council took all reasonable steps to identify all relevant interests in the property, not least </w:t>
      </w:r>
      <w:r w:rsidR="00216458">
        <w:rPr>
          <w:rFonts w:ascii="Times New Roman" w:hAnsi="Times New Roman" w:cs="Times New Roman"/>
        </w:rPr>
        <w:t xml:space="preserve">by </w:t>
      </w:r>
      <w:r w:rsidRPr="00163D0E">
        <w:rPr>
          <w:rFonts w:ascii="Times New Roman" w:hAnsi="Times New Roman" w:cs="Times New Roman"/>
        </w:rPr>
        <w:t xml:space="preserve">specifically requesting from the objector and his landowner (on numerous occasions) that the relevant documentary evidence </w:t>
      </w:r>
      <w:r w:rsidR="00216458">
        <w:rPr>
          <w:rFonts w:ascii="Times New Roman" w:hAnsi="Times New Roman" w:cs="Times New Roman"/>
        </w:rPr>
        <w:t>in</w:t>
      </w:r>
      <w:r w:rsidRPr="00163D0E">
        <w:rPr>
          <w:rFonts w:ascii="Times New Roman" w:hAnsi="Times New Roman" w:cs="Times New Roman"/>
        </w:rPr>
        <w:t xml:space="preserve"> respect of lease arrangements was provided. Once represented by Gatel</w:t>
      </w:r>
      <w:r w:rsidR="00DD3256">
        <w:rPr>
          <w:rFonts w:ascii="Times New Roman" w:hAnsi="Times New Roman" w:cs="Times New Roman"/>
        </w:rPr>
        <w:t>e</w:t>
      </w:r>
      <w:r w:rsidRPr="00163D0E">
        <w:rPr>
          <w:rFonts w:ascii="Times New Roman" w:hAnsi="Times New Roman" w:cs="Times New Roman"/>
        </w:rPr>
        <w:t xml:space="preserve">y Hamer, the objector’s interest has become clear, and the </w:t>
      </w:r>
      <w:r w:rsidRPr="00163D0E">
        <w:rPr>
          <w:rFonts w:ascii="Times New Roman" w:hAnsi="Times New Roman" w:cs="Times New Roman"/>
        </w:rPr>
        <w:lastRenderedPageBreak/>
        <w:t>Council has taken every reasonable step to negotiate expeditiously with this party and has nearly reached agreement with him. The Council has also responded expeditiously and sensitively to Mr. Marchant’s changed preferences in respect of his relocation options, and has, and will continue to, assist Mr. Marchant in this respect.</w:t>
      </w:r>
    </w:p>
    <w:p w:rsidRPr="00216458" w:rsidR="00216458" w:rsidP="00216458" w:rsidRDefault="00216458" w14:paraId="2828F08F" w14:textId="77777777">
      <w:pPr>
        <w:pStyle w:val="ListParagraph"/>
        <w:rPr>
          <w:rFonts w:ascii="Times New Roman" w:hAnsi="Times New Roman" w:cs="Times New Roman"/>
        </w:rPr>
      </w:pPr>
    </w:p>
    <w:p w:rsidRPr="00216458" w:rsidR="006D50A5" w:rsidP="00216458" w:rsidRDefault="006D50A5" w14:paraId="0BDFEB06" w14:textId="114147BC">
      <w:pPr>
        <w:pStyle w:val="ListParagraph"/>
        <w:numPr>
          <w:ilvl w:val="0"/>
          <w:numId w:val="1"/>
        </w:numPr>
        <w:spacing w:line="360" w:lineRule="auto"/>
        <w:rPr>
          <w:rFonts w:ascii="Times New Roman" w:hAnsi="Times New Roman" w:cs="Times New Roman"/>
        </w:rPr>
      </w:pPr>
      <w:r w:rsidRPr="00216458">
        <w:rPr>
          <w:rFonts w:ascii="Times New Roman" w:hAnsi="Times New Roman" w:cs="Times New Roman"/>
        </w:rPr>
        <w:t>In their most recent letter to the inquiry (2</w:t>
      </w:r>
      <w:r w:rsidRPr="00216458">
        <w:rPr>
          <w:rFonts w:ascii="Times New Roman" w:hAnsi="Times New Roman" w:cs="Times New Roman"/>
          <w:vertAlign w:val="superscript"/>
        </w:rPr>
        <w:t>nd</w:t>
      </w:r>
      <w:r w:rsidRPr="00216458">
        <w:rPr>
          <w:rFonts w:ascii="Times New Roman" w:hAnsi="Times New Roman" w:cs="Times New Roman"/>
        </w:rPr>
        <w:t xml:space="preserve"> December 2024), Gatel</w:t>
      </w:r>
      <w:r w:rsidR="00DD3256">
        <w:rPr>
          <w:rFonts w:ascii="Times New Roman" w:hAnsi="Times New Roman" w:cs="Times New Roman"/>
        </w:rPr>
        <w:t>e</w:t>
      </w:r>
      <w:r w:rsidRPr="00216458">
        <w:rPr>
          <w:rFonts w:ascii="Times New Roman" w:hAnsi="Times New Roman" w:cs="Times New Roman"/>
        </w:rPr>
        <w:t xml:space="preserve">y Hamer </w:t>
      </w:r>
      <w:r w:rsidR="00216458">
        <w:rPr>
          <w:rFonts w:ascii="Times New Roman" w:hAnsi="Times New Roman" w:cs="Times New Roman"/>
        </w:rPr>
        <w:t xml:space="preserve">also </w:t>
      </w:r>
      <w:r w:rsidRPr="00216458">
        <w:rPr>
          <w:rFonts w:ascii="Times New Roman" w:hAnsi="Times New Roman" w:cs="Times New Roman"/>
        </w:rPr>
        <w:t>take the point, for the first time, that the CPO should be delayed or be conditionally confirmed</w:t>
      </w:r>
      <w:r w:rsidR="00CE0492">
        <w:rPr>
          <w:rFonts w:ascii="Times New Roman" w:hAnsi="Times New Roman" w:cs="Times New Roman"/>
        </w:rPr>
        <w:t xml:space="preserve"> to allow further time for relocation and negotiation</w:t>
      </w:r>
      <w:r w:rsidRPr="00216458">
        <w:rPr>
          <w:rFonts w:ascii="Times New Roman" w:hAnsi="Times New Roman" w:cs="Times New Roman"/>
        </w:rPr>
        <w:t xml:space="preserve">. The Council strongly refutes that such an approach is warranted here, for the reasons set out in full above, including that </w:t>
      </w:r>
      <w:r w:rsidR="00216458">
        <w:rPr>
          <w:rFonts w:ascii="Times New Roman" w:hAnsi="Times New Roman" w:cs="Times New Roman"/>
        </w:rPr>
        <w:t>negotiations have been meaningful,</w:t>
      </w:r>
      <w:r w:rsidR="00CE0492">
        <w:rPr>
          <w:rFonts w:ascii="Times New Roman" w:hAnsi="Times New Roman" w:cs="Times New Roman"/>
        </w:rPr>
        <w:t xml:space="preserve"> contact with Mr. Marchant has been ongoing,</w:t>
      </w:r>
      <w:r w:rsidR="00216458">
        <w:rPr>
          <w:rFonts w:ascii="Times New Roman" w:hAnsi="Times New Roman" w:cs="Times New Roman"/>
        </w:rPr>
        <w:t xml:space="preserve"> the impacts on Mr. Marchant have been fully considered, and that </w:t>
      </w:r>
      <w:r w:rsidRPr="00216458">
        <w:rPr>
          <w:rFonts w:ascii="Times New Roman" w:hAnsi="Times New Roman" w:cs="Times New Roman"/>
        </w:rPr>
        <w:t xml:space="preserve">social housing is </w:t>
      </w:r>
      <w:r w:rsidR="00216458">
        <w:rPr>
          <w:rFonts w:ascii="Times New Roman" w:hAnsi="Times New Roman" w:cs="Times New Roman"/>
        </w:rPr>
        <w:t xml:space="preserve">in fact </w:t>
      </w:r>
      <w:r w:rsidRPr="00216458">
        <w:rPr>
          <w:rFonts w:ascii="Times New Roman" w:hAnsi="Times New Roman" w:cs="Times New Roman"/>
        </w:rPr>
        <w:t>available to meet Mr. Marchant’s specific needs. Further, and importantly, as set out above, there are limits on the funding available to progress the Multiversity scheme, and it is imperative that the CPO is confirmed in its entirety</w:t>
      </w:r>
      <w:r w:rsidR="00216458">
        <w:rPr>
          <w:rFonts w:ascii="Times New Roman" w:hAnsi="Times New Roman" w:cs="Times New Roman"/>
        </w:rPr>
        <w:t xml:space="preserve"> now</w:t>
      </w:r>
      <w:r w:rsidRPr="00216458">
        <w:rPr>
          <w:rFonts w:ascii="Times New Roman" w:hAnsi="Times New Roman" w:cs="Times New Roman"/>
        </w:rPr>
        <w:t xml:space="preserve"> to ensure that this critical regeneration scheme can come forward.</w:t>
      </w:r>
    </w:p>
    <w:p w:rsidR="00CE0492" w:rsidP="006D50A5" w:rsidRDefault="00CE0492" w14:paraId="14B3C85C" w14:textId="77777777">
      <w:pPr>
        <w:spacing w:line="360" w:lineRule="auto"/>
        <w:rPr>
          <w:rFonts w:ascii="Times New Roman" w:hAnsi="Times New Roman" w:cs="Times New Roman"/>
        </w:rPr>
      </w:pPr>
    </w:p>
    <w:p w:rsidRPr="00163D0E" w:rsidR="00181E8A" w:rsidP="006D50A5" w:rsidRDefault="00181E8A" w14:paraId="658C9257" w14:textId="184E738E">
      <w:pPr>
        <w:spacing w:line="360" w:lineRule="auto"/>
        <w:rPr>
          <w:rFonts w:ascii="Times New Roman" w:hAnsi="Times New Roman" w:cs="Times New Roman"/>
          <w:u w:val="single"/>
        </w:rPr>
      </w:pPr>
      <w:r w:rsidRPr="00163D0E">
        <w:rPr>
          <w:rFonts w:ascii="Times New Roman" w:hAnsi="Times New Roman" w:cs="Times New Roman"/>
          <w:u w:val="single"/>
        </w:rPr>
        <w:t>Mr. Butcher: 17 George Street</w:t>
      </w:r>
    </w:p>
    <w:p w:rsidR="00216458" w:rsidP="00216458" w:rsidRDefault="00181E8A" w14:paraId="61B5507C" w14:textId="7777777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Terms have been agreed with the freeholder in respect of 17 George Street. It is incorrect to allege, as the objector does, that there has been a failure to properly engage with the landlord given that terms are agreed.</w:t>
      </w:r>
      <w:r w:rsidR="00216458">
        <w:rPr>
          <w:rFonts w:ascii="Times New Roman" w:hAnsi="Times New Roman" w:cs="Times New Roman"/>
        </w:rPr>
        <w:t xml:space="preserve"> </w:t>
      </w:r>
    </w:p>
    <w:p w:rsidR="00216458" w:rsidP="00216458" w:rsidRDefault="00216458" w14:paraId="636DBB3B" w14:textId="77777777">
      <w:pPr>
        <w:pStyle w:val="ListParagraph"/>
        <w:spacing w:line="360" w:lineRule="auto"/>
        <w:rPr>
          <w:rFonts w:ascii="Times New Roman" w:hAnsi="Times New Roman" w:cs="Times New Roman"/>
        </w:rPr>
      </w:pPr>
    </w:p>
    <w:p w:rsidR="00216458" w:rsidP="00216458" w:rsidRDefault="00181E8A" w14:paraId="44D13F74" w14:textId="77777777">
      <w:pPr>
        <w:pStyle w:val="ListParagraph"/>
        <w:numPr>
          <w:ilvl w:val="0"/>
          <w:numId w:val="1"/>
        </w:numPr>
        <w:spacing w:line="360" w:lineRule="auto"/>
        <w:rPr>
          <w:rFonts w:ascii="Times New Roman" w:hAnsi="Times New Roman" w:cs="Times New Roman"/>
        </w:rPr>
      </w:pPr>
      <w:r w:rsidRPr="00216458">
        <w:rPr>
          <w:rFonts w:ascii="Times New Roman" w:hAnsi="Times New Roman" w:cs="Times New Roman"/>
        </w:rPr>
        <w:t xml:space="preserve">The freeholder has served Mr. Butcher with a s21 notice, but Mr. Butcher remains in occupation of the property. </w:t>
      </w:r>
    </w:p>
    <w:p w:rsidRPr="00216458" w:rsidR="00216458" w:rsidP="00216458" w:rsidRDefault="00216458" w14:paraId="2A7C1E9B" w14:textId="77777777">
      <w:pPr>
        <w:pStyle w:val="ListParagraph"/>
        <w:rPr>
          <w:rFonts w:ascii="Times New Roman" w:hAnsi="Times New Roman" w:cs="Times New Roman"/>
        </w:rPr>
      </w:pPr>
    </w:p>
    <w:p w:rsidRPr="00216458" w:rsidR="00181E8A" w:rsidP="00216458" w:rsidRDefault="00181E8A" w14:paraId="14951A58" w14:textId="03B4A958">
      <w:pPr>
        <w:pStyle w:val="ListParagraph"/>
        <w:numPr>
          <w:ilvl w:val="0"/>
          <w:numId w:val="1"/>
        </w:numPr>
        <w:spacing w:line="360" w:lineRule="auto"/>
        <w:rPr>
          <w:rFonts w:ascii="Times New Roman" w:hAnsi="Times New Roman" w:cs="Times New Roman"/>
        </w:rPr>
      </w:pPr>
      <w:r w:rsidRPr="00216458">
        <w:rPr>
          <w:rFonts w:ascii="Times New Roman" w:hAnsi="Times New Roman" w:cs="Times New Roman"/>
        </w:rPr>
        <w:t>Mr. Butcher reports concerns in relation to his mental health and anxiety, and his requirement to find a property that can accommodate his dog, who he reports is important to his mental health.</w:t>
      </w:r>
    </w:p>
    <w:p w:rsidRPr="00163D0E" w:rsidR="00181E8A" w:rsidP="00181E8A" w:rsidRDefault="00181E8A" w14:paraId="37205419" w14:textId="77777777">
      <w:pPr>
        <w:pStyle w:val="ListParagraph"/>
        <w:rPr>
          <w:rFonts w:ascii="Times New Roman" w:hAnsi="Times New Roman" w:cs="Times New Roman"/>
        </w:rPr>
      </w:pPr>
    </w:p>
    <w:p w:rsidRPr="00216458" w:rsidR="006D50A5" w:rsidP="00216458" w:rsidRDefault="00181E8A" w14:paraId="63838C26" w14:textId="676479DA">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Council does not recognise the assertion that the Council has failed to engage with </w:t>
      </w:r>
      <w:r w:rsidR="00216458">
        <w:rPr>
          <w:rFonts w:ascii="Times New Roman" w:hAnsi="Times New Roman" w:cs="Times New Roman"/>
        </w:rPr>
        <w:t>Mr. Butcher. Indeed,</w:t>
      </w:r>
      <w:r w:rsidRPr="00163D0E">
        <w:rPr>
          <w:rFonts w:ascii="Times New Roman" w:hAnsi="Times New Roman" w:cs="Times New Roman"/>
        </w:rPr>
        <w:t xml:space="preserve"> Ms. Aldridge’s evidence</w:t>
      </w:r>
      <w:r w:rsidR="00216458">
        <w:rPr>
          <w:rFonts w:ascii="Times New Roman" w:hAnsi="Times New Roman" w:cs="Times New Roman"/>
        </w:rPr>
        <w:t xml:space="preserve"> clearly</w:t>
      </w:r>
      <w:r w:rsidRPr="00163D0E">
        <w:rPr>
          <w:rFonts w:ascii="Times New Roman" w:hAnsi="Times New Roman" w:cs="Times New Roman"/>
        </w:rPr>
        <w:t xml:space="preserve"> demonstrated that the Infusion team has been in active dialogue with Mr. Butcher over a lengthy period to understand and respond to these concerns – and see log at Appendix G of her proof (</w:t>
      </w:r>
      <w:r w:rsidR="00CE0492">
        <w:rPr>
          <w:rFonts w:ascii="Times New Roman" w:hAnsi="Times New Roman" w:cs="Times New Roman"/>
        </w:rPr>
        <w:t xml:space="preserve">providing examples as to both the </w:t>
      </w:r>
      <w:r w:rsidRPr="00163D0E">
        <w:rPr>
          <w:rFonts w:ascii="Times New Roman" w:hAnsi="Times New Roman" w:cs="Times New Roman"/>
        </w:rPr>
        <w:t>frequency and duration of calls</w:t>
      </w:r>
      <w:r w:rsidR="00CE0492">
        <w:rPr>
          <w:rFonts w:ascii="Times New Roman" w:hAnsi="Times New Roman" w:cs="Times New Roman"/>
        </w:rPr>
        <w:t xml:space="preserve"> with Mr. Butcher</w:t>
      </w:r>
      <w:r w:rsidRPr="00163D0E">
        <w:rPr>
          <w:rFonts w:ascii="Times New Roman" w:hAnsi="Times New Roman" w:cs="Times New Roman"/>
        </w:rPr>
        <w:t xml:space="preserve">). </w:t>
      </w:r>
      <w:r w:rsidR="00216458">
        <w:rPr>
          <w:rFonts w:ascii="Times New Roman" w:hAnsi="Times New Roman" w:cs="Times New Roman"/>
        </w:rPr>
        <w:lastRenderedPageBreak/>
        <w:t>As</w:t>
      </w:r>
      <w:r w:rsidRPr="00163D0E">
        <w:rPr>
          <w:rFonts w:ascii="Times New Roman" w:hAnsi="Times New Roman" w:cs="Times New Roman"/>
        </w:rPr>
        <w:t xml:space="preserve"> Ms. Aldridge explained, the Council – across the Infusion, Growth and Prosperity, and Housing Options teams - has been very mindful at all times of Mr. Butcher’s mental health, has responded sensitively and appropriately, and will continue to offer him support, including to find a property that can accommodate both him and his dog. Mr. Butcher is accepted as being in priority need for housing</w:t>
      </w:r>
      <w:r w:rsidR="00216458">
        <w:rPr>
          <w:rFonts w:ascii="Times New Roman" w:hAnsi="Times New Roman" w:cs="Times New Roman"/>
        </w:rPr>
        <w:t xml:space="preserve">, </w:t>
      </w:r>
      <w:r w:rsidRPr="00216458">
        <w:rPr>
          <w:rFonts w:ascii="Times New Roman" w:hAnsi="Times New Roman" w:cs="Times New Roman"/>
        </w:rPr>
        <w:t xml:space="preserve">has a named case worker to assist him in identifying a relocation property, is provided </w:t>
      </w:r>
      <w:r w:rsidR="00216458">
        <w:rPr>
          <w:rFonts w:ascii="Times New Roman" w:hAnsi="Times New Roman" w:cs="Times New Roman"/>
        </w:rPr>
        <w:t xml:space="preserve">with </w:t>
      </w:r>
      <w:r w:rsidRPr="00216458">
        <w:rPr>
          <w:rFonts w:ascii="Times New Roman" w:hAnsi="Times New Roman" w:cs="Times New Roman"/>
        </w:rPr>
        <w:t xml:space="preserve">support </w:t>
      </w:r>
      <w:r w:rsidR="00216458">
        <w:rPr>
          <w:rFonts w:ascii="Times New Roman" w:hAnsi="Times New Roman" w:cs="Times New Roman"/>
        </w:rPr>
        <w:t>in making applications</w:t>
      </w:r>
      <w:r w:rsidRPr="00216458">
        <w:rPr>
          <w:rFonts w:ascii="Times New Roman" w:hAnsi="Times New Roman" w:cs="Times New Roman"/>
        </w:rPr>
        <w:t xml:space="preserve">, and has good references. Ms. Aldridge’s firm evidence is that the </w:t>
      </w:r>
      <w:r w:rsidRPr="00216458">
        <w:rPr>
          <w:rFonts w:ascii="Times New Roman" w:hAnsi="Times New Roman" w:cs="Times New Roman"/>
          <w:i/>
          <w:iCs/>
        </w:rPr>
        <w:t>“signs are positive”</w:t>
      </w:r>
      <w:r w:rsidRPr="00216458">
        <w:rPr>
          <w:rFonts w:ascii="Times New Roman" w:hAnsi="Times New Roman" w:cs="Times New Roman"/>
        </w:rPr>
        <w:t xml:space="preserve"> that a relocation property can be found to meet his needs. </w:t>
      </w:r>
    </w:p>
    <w:p w:rsidR="00CE0492" w:rsidP="006D50A5" w:rsidRDefault="00CE0492" w14:paraId="632807EA" w14:textId="77777777">
      <w:pPr>
        <w:spacing w:line="360" w:lineRule="auto"/>
        <w:rPr>
          <w:rFonts w:ascii="Times New Roman" w:hAnsi="Times New Roman" w:cs="Times New Roman"/>
        </w:rPr>
      </w:pPr>
    </w:p>
    <w:p w:rsidRPr="00163D0E" w:rsidR="00181E8A" w:rsidP="006D50A5" w:rsidRDefault="00181E8A" w14:paraId="2EC3D663" w14:textId="14A398C2">
      <w:pPr>
        <w:spacing w:line="360" w:lineRule="auto"/>
        <w:rPr>
          <w:rFonts w:ascii="Times New Roman" w:hAnsi="Times New Roman" w:cs="Times New Roman"/>
          <w:u w:val="single"/>
        </w:rPr>
      </w:pPr>
      <w:r w:rsidRPr="00163D0E">
        <w:rPr>
          <w:rFonts w:ascii="Times New Roman" w:hAnsi="Times New Roman" w:cs="Times New Roman"/>
          <w:u w:val="single"/>
        </w:rPr>
        <w:t xml:space="preserve">Mr. Farrell: </w:t>
      </w:r>
      <w:r w:rsidRPr="00163D0E" w:rsidR="00D91DE2">
        <w:rPr>
          <w:rFonts w:ascii="Times New Roman" w:hAnsi="Times New Roman" w:cs="Times New Roman"/>
          <w:u w:val="single"/>
        </w:rPr>
        <w:t>Owner of n</w:t>
      </w:r>
      <w:r w:rsidRPr="00163D0E">
        <w:rPr>
          <w:rFonts w:ascii="Times New Roman" w:hAnsi="Times New Roman" w:cs="Times New Roman"/>
          <w:u w:val="single"/>
        </w:rPr>
        <w:t>umbers 9, 5 and 7 George Street</w:t>
      </w:r>
    </w:p>
    <w:p w:rsidRPr="00163D0E" w:rsidR="00181E8A" w:rsidP="00594F05" w:rsidRDefault="00181E8A" w14:paraId="7A1AA483" w14:textId="479BB5BB">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Council does not recognise </w:t>
      </w:r>
      <w:r w:rsidRPr="00163D0E" w:rsidR="00D91DE2">
        <w:rPr>
          <w:rFonts w:ascii="Times New Roman" w:hAnsi="Times New Roman" w:cs="Times New Roman"/>
        </w:rPr>
        <w:t>the assertion that it has failed to engage meaningfully with Mr. Farrell. The schedule of communication at TY13 demonstrates that engagement has</w:t>
      </w:r>
      <w:r w:rsidR="00216458">
        <w:rPr>
          <w:rFonts w:ascii="Times New Roman" w:hAnsi="Times New Roman" w:cs="Times New Roman"/>
        </w:rPr>
        <w:t>, in fact,</w:t>
      </w:r>
      <w:r w:rsidRPr="00163D0E" w:rsidR="00D91DE2">
        <w:rPr>
          <w:rFonts w:ascii="Times New Roman" w:hAnsi="Times New Roman" w:cs="Times New Roman"/>
        </w:rPr>
        <w:t xml:space="preserve"> been extensive. This is particularly since May 2024, when Mr. Farrell has been more inclined to </w:t>
      </w:r>
      <w:proofErr w:type="gramStart"/>
      <w:r w:rsidRPr="00163D0E" w:rsidR="00D91DE2">
        <w:rPr>
          <w:rFonts w:ascii="Times New Roman" w:hAnsi="Times New Roman" w:cs="Times New Roman"/>
        </w:rPr>
        <w:t>enter into</w:t>
      </w:r>
      <w:proofErr w:type="gramEnd"/>
      <w:r w:rsidRPr="00163D0E" w:rsidR="00D91DE2">
        <w:rPr>
          <w:rFonts w:ascii="Times New Roman" w:hAnsi="Times New Roman" w:cs="Times New Roman"/>
        </w:rPr>
        <w:t xml:space="preserve"> discussions with the Council.</w:t>
      </w:r>
    </w:p>
    <w:p w:rsidRPr="00163D0E" w:rsidR="00D91DE2" w:rsidP="00D91DE2" w:rsidRDefault="00D91DE2" w14:paraId="1A6059C1" w14:textId="77777777">
      <w:pPr>
        <w:pStyle w:val="ListParagraph"/>
        <w:spacing w:line="360" w:lineRule="auto"/>
        <w:rPr>
          <w:rFonts w:ascii="Times New Roman" w:hAnsi="Times New Roman" w:cs="Times New Roman"/>
        </w:rPr>
      </w:pPr>
    </w:p>
    <w:p w:rsidRPr="00163D0E" w:rsidR="00D91DE2" w:rsidP="00594F05" w:rsidRDefault="00D91DE2" w14:paraId="1F912305" w14:textId="4524EA8C">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In relation to number 9 George Street, there was an outstanding probate issue, and this has only recently been registered to Mr. Farrell since the first sitting of the inquiry</w:t>
      </w:r>
      <w:r w:rsidR="00D93D8C">
        <w:rPr>
          <w:rFonts w:ascii="Times New Roman" w:hAnsi="Times New Roman" w:cs="Times New Roman"/>
        </w:rPr>
        <w:t xml:space="preserve">. </w:t>
      </w:r>
      <w:r w:rsidRPr="00163D0E">
        <w:rPr>
          <w:rFonts w:ascii="Times New Roman" w:hAnsi="Times New Roman" w:cs="Times New Roman"/>
        </w:rPr>
        <w:t xml:space="preserve">Since that time, the Council has made an offer to Mr. Farrell, which was rejected, and has </w:t>
      </w:r>
      <w:proofErr w:type="gramStart"/>
      <w:r w:rsidRPr="00163D0E">
        <w:rPr>
          <w:rFonts w:ascii="Times New Roman" w:hAnsi="Times New Roman" w:cs="Times New Roman"/>
        </w:rPr>
        <w:t>entered into</w:t>
      </w:r>
      <w:proofErr w:type="gramEnd"/>
      <w:r w:rsidRPr="00163D0E">
        <w:rPr>
          <w:rFonts w:ascii="Times New Roman" w:hAnsi="Times New Roman" w:cs="Times New Roman"/>
        </w:rPr>
        <w:t xml:space="preserve"> further negotiations with him. The Council is now close to an agreement in relation to this property, and Mr. Farrell is considering his position following confirmation from the Inspector that he </w:t>
      </w:r>
      <w:proofErr w:type="gramStart"/>
      <w:r w:rsidRPr="00163D0E">
        <w:rPr>
          <w:rFonts w:ascii="Times New Roman" w:hAnsi="Times New Roman" w:cs="Times New Roman"/>
        </w:rPr>
        <w:t>is able to</w:t>
      </w:r>
      <w:proofErr w:type="gramEnd"/>
      <w:r w:rsidRPr="00163D0E">
        <w:rPr>
          <w:rFonts w:ascii="Times New Roman" w:hAnsi="Times New Roman" w:cs="Times New Roman"/>
        </w:rPr>
        <w:t xml:space="preserve"> withdraw this objection </w:t>
      </w:r>
      <w:r w:rsidR="00216458">
        <w:rPr>
          <w:rFonts w:ascii="Times New Roman" w:hAnsi="Times New Roman" w:cs="Times New Roman"/>
        </w:rPr>
        <w:t xml:space="preserve">in respect of Number 9 </w:t>
      </w:r>
      <w:r w:rsidRPr="00163D0E">
        <w:rPr>
          <w:rFonts w:ascii="Times New Roman" w:hAnsi="Times New Roman" w:cs="Times New Roman"/>
        </w:rPr>
        <w:t>but maintain his objection in respect of numbers 5 and 7 George Street.</w:t>
      </w:r>
    </w:p>
    <w:p w:rsidRPr="00163D0E" w:rsidR="00D91DE2" w:rsidP="00D91DE2" w:rsidRDefault="00D91DE2" w14:paraId="04C5CE29" w14:textId="77777777">
      <w:pPr>
        <w:pStyle w:val="ListParagraph"/>
        <w:rPr>
          <w:rFonts w:ascii="Times New Roman" w:hAnsi="Times New Roman" w:cs="Times New Roman"/>
        </w:rPr>
      </w:pPr>
    </w:p>
    <w:p w:rsidRPr="00163D0E" w:rsidR="00D91DE2" w:rsidP="00594F05" w:rsidRDefault="00D91DE2" w14:paraId="7B5B9DE8" w14:textId="1E6609CA">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There ha</w:t>
      </w:r>
      <w:r w:rsidR="00CE0492">
        <w:rPr>
          <w:rFonts w:ascii="Times New Roman" w:hAnsi="Times New Roman" w:cs="Times New Roman"/>
        </w:rPr>
        <w:t>s</w:t>
      </w:r>
      <w:r w:rsidRPr="00163D0E">
        <w:rPr>
          <w:rFonts w:ascii="Times New Roman" w:hAnsi="Times New Roman" w:cs="Times New Roman"/>
        </w:rPr>
        <w:t xml:space="preserve"> been constructive engagement and negotiation in respect of the other two properties</w:t>
      </w:r>
      <w:r w:rsidR="00216458">
        <w:rPr>
          <w:rFonts w:ascii="Times New Roman" w:hAnsi="Times New Roman" w:cs="Times New Roman"/>
        </w:rPr>
        <w:t xml:space="preserve"> (number</w:t>
      </w:r>
      <w:r w:rsidR="00DD3256">
        <w:rPr>
          <w:rFonts w:ascii="Times New Roman" w:hAnsi="Times New Roman" w:cs="Times New Roman"/>
        </w:rPr>
        <w:t>s</w:t>
      </w:r>
      <w:r w:rsidR="00216458">
        <w:rPr>
          <w:rFonts w:ascii="Times New Roman" w:hAnsi="Times New Roman" w:cs="Times New Roman"/>
        </w:rPr>
        <w:t xml:space="preserve"> 5 and 7)</w:t>
      </w:r>
      <w:r w:rsidRPr="00163D0E">
        <w:rPr>
          <w:rFonts w:ascii="Times New Roman" w:hAnsi="Times New Roman" w:cs="Times New Roman"/>
        </w:rPr>
        <w:t>, including offers and counteroffers</w:t>
      </w:r>
      <w:r w:rsidR="00216458">
        <w:rPr>
          <w:rFonts w:ascii="Times New Roman" w:hAnsi="Times New Roman" w:cs="Times New Roman"/>
        </w:rPr>
        <w:t xml:space="preserve"> and a </w:t>
      </w:r>
      <w:r w:rsidRPr="00163D0E">
        <w:rPr>
          <w:rFonts w:ascii="Times New Roman" w:hAnsi="Times New Roman" w:cs="Times New Roman"/>
        </w:rPr>
        <w:t>very recent meeting on 2</w:t>
      </w:r>
      <w:r w:rsidRPr="00163D0E">
        <w:rPr>
          <w:rFonts w:ascii="Times New Roman" w:hAnsi="Times New Roman" w:cs="Times New Roman"/>
          <w:vertAlign w:val="superscript"/>
        </w:rPr>
        <w:t>nd</w:t>
      </w:r>
      <w:r w:rsidRPr="00163D0E">
        <w:rPr>
          <w:rFonts w:ascii="Times New Roman" w:hAnsi="Times New Roman" w:cs="Times New Roman"/>
        </w:rPr>
        <w:t xml:space="preserve"> December 2024. Whilst there is still </w:t>
      </w:r>
      <w:r w:rsidR="00CE0492">
        <w:rPr>
          <w:rFonts w:ascii="Times New Roman" w:hAnsi="Times New Roman" w:cs="Times New Roman"/>
        </w:rPr>
        <w:t>“</w:t>
      </w:r>
      <w:r w:rsidRPr="00163D0E">
        <w:rPr>
          <w:rFonts w:ascii="Times New Roman" w:hAnsi="Times New Roman" w:cs="Times New Roman"/>
        </w:rPr>
        <w:t>work to do</w:t>
      </w:r>
      <w:r w:rsidR="00CE0492">
        <w:rPr>
          <w:rFonts w:ascii="Times New Roman" w:hAnsi="Times New Roman" w:cs="Times New Roman"/>
        </w:rPr>
        <w:t>”</w:t>
      </w:r>
      <w:r w:rsidRPr="00163D0E">
        <w:rPr>
          <w:rFonts w:ascii="Times New Roman" w:hAnsi="Times New Roman" w:cs="Times New Roman"/>
        </w:rPr>
        <w:t xml:space="preserve"> in respect of reaching an agreement on these properties, </w:t>
      </w:r>
      <w:proofErr w:type="gramStart"/>
      <w:r w:rsidRPr="00163D0E">
        <w:rPr>
          <w:rFonts w:ascii="Times New Roman" w:hAnsi="Times New Roman" w:cs="Times New Roman"/>
        </w:rPr>
        <w:t>it is clear that negotiation</w:t>
      </w:r>
      <w:proofErr w:type="gramEnd"/>
      <w:r w:rsidRPr="00163D0E">
        <w:rPr>
          <w:rFonts w:ascii="Times New Roman" w:hAnsi="Times New Roman" w:cs="Times New Roman"/>
        </w:rPr>
        <w:t xml:space="preserve"> has been meaningful, and further, the issue is </w:t>
      </w:r>
      <w:r w:rsidR="0007427B">
        <w:rPr>
          <w:rFonts w:ascii="Times New Roman" w:hAnsi="Times New Roman" w:cs="Times New Roman"/>
        </w:rPr>
        <w:t>in truth</w:t>
      </w:r>
      <w:r w:rsidRPr="00163D0E" w:rsidR="0007427B">
        <w:rPr>
          <w:rFonts w:ascii="Times New Roman" w:hAnsi="Times New Roman" w:cs="Times New Roman"/>
        </w:rPr>
        <w:t xml:space="preserve"> </w:t>
      </w:r>
      <w:r w:rsidRPr="00163D0E">
        <w:rPr>
          <w:rFonts w:ascii="Times New Roman" w:hAnsi="Times New Roman" w:cs="Times New Roman"/>
        </w:rPr>
        <w:t>one that relates to valuation.</w:t>
      </w:r>
    </w:p>
    <w:p w:rsidRPr="00163D0E" w:rsidR="00D91DE2" w:rsidP="00D91DE2" w:rsidRDefault="00D91DE2" w14:paraId="396C3010" w14:textId="77777777">
      <w:pPr>
        <w:pStyle w:val="ListParagraph"/>
        <w:rPr>
          <w:rFonts w:ascii="Times New Roman" w:hAnsi="Times New Roman" w:cs="Times New Roman"/>
        </w:rPr>
      </w:pPr>
    </w:p>
    <w:p w:rsidRPr="00163D0E" w:rsidR="00D91DE2" w:rsidP="00D91DE2" w:rsidRDefault="00D91DE2" w14:paraId="65B6183A" w14:textId="45F12FFC">
      <w:pPr>
        <w:spacing w:line="360" w:lineRule="auto"/>
        <w:rPr>
          <w:rFonts w:ascii="Times New Roman" w:hAnsi="Times New Roman" w:cs="Times New Roman"/>
          <w:u w:val="single"/>
        </w:rPr>
      </w:pPr>
      <w:r w:rsidRPr="00163D0E">
        <w:rPr>
          <w:rFonts w:ascii="Times New Roman" w:hAnsi="Times New Roman" w:cs="Times New Roman"/>
          <w:u w:val="single"/>
        </w:rPr>
        <w:t>Mr. Harris: Occupier number 7 George Street</w:t>
      </w:r>
    </w:p>
    <w:p w:rsidRPr="00163D0E" w:rsidR="00D91DE2" w:rsidP="00D91DE2" w:rsidRDefault="00D91DE2" w14:paraId="08487563" w14:textId="77777777">
      <w:pPr>
        <w:spacing w:line="360" w:lineRule="auto"/>
        <w:rPr>
          <w:rFonts w:ascii="Times New Roman" w:hAnsi="Times New Roman" w:cs="Times New Roman"/>
          <w:u w:val="single"/>
        </w:rPr>
      </w:pPr>
    </w:p>
    <w:p w:rsidRPr="00163D0E" w:rsidR="00D91DE2" w:rsidP="00594F05" w:rsidRDefault="00D91DE2" w14:paraId="785E55EF" w14:textId="7777777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lastRenderedPageBreak/>
        <w:t xml:space="preserve">Mr. Harris is one of the 11 tenants that lives at numbers 5 – 7 George Street. </w:t>
      </w:r>
    </w:p>
    <w:p w:rsidRPr="00163D0E" w:rsidR="00D91DE2" w:rsidP="00D91DE2" w:rsidRDefault="00D91DE2" w14:paraId="4BB2F2F3" w14:textId="77777777">
      <w:pPr>
        <w:pStyle w:val="ListParagraph"/>
        <w:spacing w:line="360" w:lineRule="auto"/>
        <w:rPr>
          <w:rFonts w:ascii="Times New Roman" w:hAnsi="Times New Roman" w:cs="Times New Roman"/>
        </w:rPr>
      </w:pPr>
    </w:p>
    <w:p w:rsidR="00216458" w:rsidP="00594F05" w:rsidRDefault="00D91DE2" w14:paraId="32991628" w14:textId="0A7111C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Mr. Harris’ objection notes his concern as to his health, and</w:t>
      </w:r>
      <w:proofErr w:type="gramStart"/>
      <w:r w:rsidRPr="00163D0E">
        <w:rPr>
          <w:rFonts w:ascii="Times New Roman" w:hAnsi="Times New Roman" w:cs="Times New Roman"/>
        </w:rPr>
        <w:t>, in particular, that</w:t>
      </w:r>
      <w:proofErr w:type="gramEnd"/>
      <w:r w:rsidRPr="00163D0E">
        <w:rPr>
          <w:rFonts w:ascii="Times New Roman" w:hAnsi="Times New Roman" w:cs="Times New Roman"/>
        </w:rPr>
        <w:t xml:space="preserve"> his requirement for oxygen means that he cannot be relocated to a home with gas</w:t>
      </w:r>
      <w:r w:rsidR="00216458">
        <w:rPr>
          <w:rFonts w:ascii="Times New Roman" w:hAnsi="Times New Roman" w:cs="Times New Roman"/>
        </w:rPr>
        <w:t>. Mr. Harris is also concerned</w:t>
      </w:r>
      <w:r w:rsidRPr="00163D0E">
        <w:rPr>
          <w:rFonts w:ascii="Times New Roman" w:hAnsi="Times New Roman" w:cs="Times New Roman"/>
        </w:rPr>
        <w:t xml:space="preserve"> </w:t>
      </w:r>
      <w:r w:rsidR="00216458">
        <w:rPr>
          <w:rFonts w:ascii="Times New Roman" w:hAnsi="Times New Roman" w:cs="Times New Roman"/>
        </w:rPr>
        <w:t xml:space="preserve">to be </w:t>
      </w:r>
      <w:r w:rsidRPr="00163D0E">
        <w:rPr>
          <w:rFonts w:ascii="Times New Roman" w:hAnsi="Times New Roman" w:cs="Times New Roman"/>
        </w:rPr>
        <w:t xml:space="preserve">located close to his support network and </w:t>
      </w:r>
      <w:r w:rsidR="00216458">
        <w:rPr>
          <w:rFonts w:ascii="Times New Roman" w:hAnsi="Times New Roman" w:cs="Times New Roman"/>
        </w:rPr>
        <w:t>with</w:t>
      </w:r>
      <w:r w:rsidRPr="00163D0E">
        <w:rPr>
          <w:rFonts w:ascii="Times New Roman" w:hAnsi="Times New Roman" w:cs="Times New Roman"/>
        </w:rPr>
        <w:t xml:space="preserve"> easy access to facilities. </w:t>
      </w:r>
    </w:p>
    <w:p w:rsidRPr="00216458" w:rsidR="00216458" w:rsidP="00216458" w:rsidRDefault="00216458" w14:paraId="35F3D3F9" w14:textId="77777777">
      <w:pPr>
        <w:pStyle w:val="ListParagraph"/>
        <w:rPr>
          <w:rFonts w:ascii="Times New Roman" w:hAnsi="Times New Roman" w:cs="Times New Roman"/>
        </w:rPr>
      </w:pPr>
    </w:p>
    <w:p w:rsidRPr="00163D0E" w:rsidR="00D91DE2" w:rsidP="00594F05" w:rsidRDefault="00D91DE2" w14:paraId="52F8F6E6" w14:textId="236B0311">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Mr. Harris attended a meeting with the Infusion team in August 2024, and since then has formed a relationship with the team and has received active support from them. This is a deprived Local Authority with a high prevalence of COPD, where many residents are fully or partially dependent on oxygen, and the Council fully appreciates and understands Mr. Harris’ requirements and has been mindful of them throughout. As a result of its experience in dealing with such issues, the Council is also confident that it is in a position to provide tailored support to Mr. Harris to assist him locate a property that is suitable for </w:t>
      </w:r>
      <w:r w:rsidR="00216458">
        <w:rPr>
          <w:rFonts w:ascii="Times New Roman" w:hAnsi="Times New Roman" w:cs="Times New Roman"/>
        </w:rPr>
        <w:t xml:space="preserve">him </w:t>
      </w:r>
      <w:r w:rsidRPr="00163D0E">
        <w:rPr>
          <w:rFonts w:ascii="Times New Roman" w:hAnsi="Times New Roman" w:cs="Times New Roman"/>
        </w:rPr>
        <w:t>when he is ready to move</w:t>
      </w:r>
      <w:r w:rsidR="00216458">
        <w:rPr>
          <w:rFonts w:ascii="Times New Roman" w:hAnsi="Times New Roman" w:cs="Times New Roman"/>
        </w:rPr>
        <w:t xml:space="preserve"> (both in respect of the need to identify a home without gas, and a property from which he can maintain his independence). </w:t>
      </w:r>
      <w:r w:rsidRPr="00163D0E">
        <w:rPr>
          <w:rFonts w:ascii="Times New Roman" w:hAnsi="Times New Roman" w:cs="Times New Roman"/>
        </w:rPr>
        <w:t>Mr. Harris is not currently in receipt of notice to vacate the property and is not currently incentivised to do so, however, Ms. Aldridge confirmed that the Council is ready to provide full support to him as and when this is required.</w:t>
      </w:r>
    </w:p>
    <w:p w:rsidR="00CE0492" w:rsidP="00CE0492" w:rsidRDefault="00CE0492" w14:paraId="748A0DCD" w14:textId="77777777">
      <w:pPr>
        <w:spacing w:line="360" w:lineRule="auto"/>
        <w:rPr>
          <w:rFonts w:ascii="Times New Roman" w:hAnsi="Times New Roman" w:cs="Times New Roman"/>
        </w:rPr>
      </w:pPr>
    </w:p>
    <w:p w:rsidRPr="00163D0E" w:rsidR="00D91DE2" w:rsidP="00CE0492" w:rsidRDefault="00D91DE2" w14:paraId="7A46A5BF" w14:textId="12196D7D">
      <w:pPr>
        <w:spacing w:line="360" w:lineRule="auto"/>
        <w:rPr>
          <w:rFonts w:ascii="Times New Roman" w:hAnsi="Times New Roman" w:cs="Times New Roman"/>
          <w:u w:val="single"/>
        </w:rPr>
      </w:pPr>
      <w:r w:rsidRPr="00163D0E">
        <w:rPr>
          <w:rFonts w:ascii="Times New Roman" w:hAnsi="Times New Roman" w:cs="Times New Roman"/>
          <w:u w:val="single"/>
        </w:rPr>
        <w:t>Mr. Foster: Occupier number 5 George Street</w:t>
      </w:r>
    </w:p>
    <w:p w:rsidRPr="00163D0E" w:rsidR="00D91DE2" w:rsidP="00594F05" w:rsidRDefault="00D91DE2" w14:paraId="6BCDF27A" w14:textId="6BABD4AD">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In correspondence produced on the first day of the resumed inquiry, Mr. Foster allege</w:t>
      </w:r>
      <w:r w:rsidR="00216458">
        <w:rPr>
          <w:rFonts w:ascii="Times New Roman" w:hAnsi="Times New Roman" w:cs="Times New Roman"/>
        </w:rPr>
        <w:t xml:space="preserve">d </w:t>
      </w:r>
      <w:r w:rsidRPr="00163D0E">
        <w:rPr>
          <w:rFonts w:ascii="Times New Roman" w:hAnsi="Times New Roman" w:cs="Times New Roman"/>
        </w:rPr>
        <w:t xml:space="preserve">that he has a </w:t>
      </w:r>
      <w:r w:rsidRPr="00163D0E" w:rsidR="00855241">
        <w:rPr>
          <w:rFonts w:ascii="Times New Roman" w:hAnsi="Times New Roman" w:cs="Times New Roman"/>
        </w:rPr>
        <w:t>protected tenancy, and that the Council has failed to take this interest into account or engage in meaningful negotiations.</w:t>
      </w:r>
    </w:p>
    <w:p w:rsidRPr="00163D0E" w:rsidR="00855241" w:rsidP="00855241" w:rsidRDefault="00855241" w14:paraId="0F5FC2EF" w14:textId="77777777">
      <w:pPr>
        <w:pStyle w:val="ListParagraph"/>
        <w:spacing w:line="360" w:lineRule="auto"/>
        <w:rPr>
          <w:rFonts w:ascii="Times New Roman" w:hAnsi="Times New Roman" w:cs="Times New Roman"/>
        </w:rPr>
      </w:pPr>
    </w:p>
    <w:p w:rsidRPr="00163D0E" w:rsidR="00855241" w:rsidP="00594F05" w:rsidRDefault="00D91DE2" w14:paraId="5E6409A0" w14:textId="30404E5F">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The Council </w:t>
      </w:r>
      <w:r w:rsidRPr="00163D0E" w:rsidR="00855241">
        <w:rPr>
          <w:rFonts w:ascii="Times New Roman" w:hAnsi="Times New Roman" w:cs="Times New Roman"/>
        </w:rPr>
        <w:t xml:space="preserve">does not recognise this very late characterisation of </w:t>
      </w:r>
      <w:r w:rsidR="00216458">
        <w:rPr>
          <w:rFonts w:ascii="Times New Roman" w:hAnsi="Times New Roman" w:cs="Times New Roman"/>
        </w:rPr>
        <w:t>Mr. Foster’s interest.</w:t>
      </w:r>
    </w:p>
    <w:p w:rsidRPr="00163D0E" w:rsidR="00855241" w:rsidP="00855241" w:rsidRDefault="00855241" w14:paraId="3ED22733" w14:textId="77777777">
      <w:pPr>
        <w:pStyle w:val="ListParagraph"/>
        <w:rPr>
          <w:rFonts w:ascii="Times New Roman" w:hAnsi="Times New Roman" w:cs="Times New Roman"/>
        </w:rPr>
      </w:pPr>
    </w:p>
    <w:p w:rsidRPr="00163D0E" w:rsidR="00D91DE2" w:rsidP="00594F05" w:rsidRDefault="00855241" w14:paraId="4DC80C3C" w14:textId="2D4587F6">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 As set out in the Council’s response to this objection</w:t>
      </w:r>
      <w:r w:rsidRPr="00163D0E">
        <w:rPr>
          <w:rStyle w:val="FootnoteReference"/>
          <w:rFonts w:ascii="Times New Roman" w:hAnsi="Times New Roman" w:cs="Times New Roman"/>
        </w:rPr>
        <w:footnoteReference w:id="106"/>
      </w:r>
      <w:r w:rsidRPr="00163D0E">
        <w:rPr>
          <w:rFonts w:ascii="Times New Roman" w:hAnsi="Times New Roman" w:cs="Times New Roman"/>
        </w:rPr>
        <w:t xml:space="preserve">, the Council was not initially aware that number 7 George Street was in multiple occupation, as it has </w:t>
      </w:r>
      <w:r w:rsidRPr="00163D0E">
        <w:rPr>
          <w:rFonts w:ascii="Times New Roman" w:hAnsi="Times New Roman" w:cs="Times New Roman"/>
        </w:rPr>
        <w:lastRenderedPageBreak/>
        <w:t xml:space="preserve">planning permission as a holiday let (and not </w:t>
      </w:r>
      <w:proofErr w:type="gramStart"/>
      <w:r w:rsidRPr="00163D0E">
        <w:rPr>
          <w:rFonts w:ascii="Times New Roman" w:hAnsi="Times New Roman" w:cs="Times New Roman"/>
        </w:rPr>
        <w:t>a</w:t>
      </w:r>
      <w:proofErr w:type="gramEnd"/>
      <w:r w:rsidRPr="00163D0E">
        <w:rPr>
          <w:rFonts w:ascii="Times New Roman" w:hAnsi="Times New Roman" w:cs="Times New Roman"/>
        </w:rPr>
        <w:t xml:space="preserve"> HMO). Notwithstanding this, notice was served on the owners and occupiers of the property, and site notices were posted in proximity to the property. Further, the Council </w:t>
      </w:r>
      <w:r w:rsidRPr="00163D0E" w:rsidR="00D91DE2">
        <w:rPr>
          <w:rFonts w:ascii="Times New Roman" w:hAnsi="Times New Roman" w:cs="Times New Roman"/>
        </w:rPr>
        <w:t xml:space="preserve">has been in contact with Mr. Foster since 2022, as </w:t>
      </w:r>
      <w:r w:rsidRPr="00163D0E">
        <w:rPr>
          <w:rFonts w:ascii="Times New Roman" w:hAnsi="Times New Roman" w:cs="Times New Roman"/>
        </w:rPr>
        <w:t>Mr. Foster</w:t>
      </w:r>
      <w:r w:rsidRPr="00163D0E" w:rsidR="00D91DE2">
        <w:rPr>
          <w:rFonts w:ascii="Times New Roman" w:hAnsi="Times New Roman" w:cs="Times New Roman"/>
        </w:rPr>
        <w:t xml:space="preserve"> was the property manager for Mr. Farrell’s properties on George Street. </w:t>
      </w:r>
      <w:r w:rsidRPr="00163D0E">
        <w:rPr>
          <w:rFonts w:ascii="Times New Roman" w:hAnsi="Times New Roman" w:cs="Times New Roman"/>
        </w:rPr>
        <w:t>He was therefore fully aware of the CPO, and the Council’s attempts to engage with affected parties.</w:t>
      </w:r>
    </w:p>
    <w:p w:rsidRPr="00163D0E" w:rsidR="00855241" w:rsidP="00855241" w:rsidRDefault="00855241" w14:paraId="793C1DE2" w14:textId="77777777">
      <w:pPr>
        <w:pStyle w:val="ListParagraph"/>
        <w:rPr>
          <w:rFonts w:ascii="Times New Roman" w:hAnsi="Times New Roman" w:cs="Times New Roman"/>
        </w:rPr>
      </w:pPr>
    </w:p>
    <w:p w:rsidRPr="00163D0E" w:rsidR="00855241" w:rsidP="00594F05" w:rsidRDefault="00855241" w14:paraId="48923230" w14:textId="30049F25">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Through engagement with Messrs. Farrell and Foster, the Council was informed that there were some 11 residents living at number 5 – 7 George Street. The Council sought tenancy agreements in respect of these occupiers and was provided with 10</w:t>
      </w:r>
      <w:r w:rsidR="00216458">
        <w:rPr>
          <w:rFonts w:ascii="Times New Roman" w:hAnsi="Times New Roman" w:cs="Times New Roman"/>
        </w:rPr>
        <w:t xml:space="preserve"> of them</w:t>
      </w:r>
      <w:r w:rsidRPr="00163D0E">
        <w:rPr>
          <w:rFonts w:ascii="Times New Roman" w:hAnsi="Times New Roman" w:cs="Times New Roman"/>
        </w:rPr>
        <w:t>. The missing agreement was Mr. Foster’s. The Council requested this</w:t>
      </w:r>
      <w:r w:rsidR="00216458">
        <w:rPr>
          <w:rFonts w:ascii="Times New Roman" w:hAnsi="Times New Roman" w:cs="Times New Roman"/>
        </w:rPr>
        <w:t xml:space="preserve"> on various occasions from both Messrs Farrell and Foster</w:t>
      </w:r>
      <w:r w:rsidRPr="00163D0E">
        <w:rPr>
          <w:rFonts w:ascii="Times New Roman" w:hAnsi="Times New Roman" w:cs="Times New Roman"/>
        </w:rPr>
        <w:t xml:space="preserve">, but </w:t>
      </w:r>
      <w:r w:rsidR="00216458">
        <w:rPr>
          <w:rFonts w:ascii="Times New Roman" w:hAnsi="Times New Roman" w:cs="Times New Roman"/>
        </w:rPr>
        <w:t>nothing was</w:t>
      </w:r>
      <w:r w:rsidRPr="00163D0E">
        <w:rPr>
          <w:rFonts w:ascii="Times New Roman" w:hAnsi="Times New Roman" w:cs="Times New Roman"/>
        </w:rPr>
        <w:t xml:space="preserve"> provided. The Council has also carried out searches with the Land Registry, the Valuation Office, and has instructed land referencing, and there was no evidence of any interest</w:t>
      </w:r>
      <w:r w:rsidR="00216458">
        <w:rPr>
          <w:rFonts w:ascii="Times New Roman" w:hAnsi="Times New Roman" w:cs="Times New Roman"/>
        </w:rPr>
        <w:t xml:space="preserve"> registered to Mr. Foster</w:t>
      </w:r>
    </w:p>
    <w:p w:rsidRPr="00163D0E" w:rsidR="00855241" w:rsidP="00855241" w:rsidRDefault="00855241" w14:paraId="2B9C3F52" w14:textId="77777777">
      <w:pPr>
        <w:pStyle w:val="ListParagraph"/>
        <w:rPr>
          <w:rFonts w:ascii="Times New Roman" w:hAnsi="Times New Roman" w:cs="Times New Roman"/>
        </w:rPr>
      </w:pPr>
    </w:p>
    <w:p w:rsidRPr="00163D0E" w:rsidR="00855241" w:rsidP="00594F05" w:rsidRDefault="00855241" w14:paraId="74E11052" w14:textId="2C64A478">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Around 3 weeks ago, Mr. Whyte suggested to the Council, for the first time, that Mr. Foster might have a protected tenancy. This is not something that was ever suggested previously, and it </w:t>
      </w:r>
      <w:r w:rsidR="00216458">
        <w:rPr>
          <w:rFonts w:ascii="Times New Roman" w:hAnsi="Times New Roman" w:cs="Times New Roman"/>
        </w:rPr>
        <w:t>was</w:t>
      </w:r>
      <w:r w:rsidRPr="00163D0E">
        <w:rPr>
          <w:rFonts w:ascii="Times New Roman" w:hAnsi="Times New Roman" w:cs="Times New Roman"/>
        </w:rPr>
        <w:t xml:space="preserve"> not something raised in Mr. Foster’s objection letter</w:t>
      </w:r>
      <w:r w:rsidR="00216458">
        <w:rPr>
          <w:rFonts w:ascii="Times New Roman" w:hAnsi="Times New Roman" w:cs="Times New Roman"/>
        </w:rPr>
        <w:t xml:space="preserve"> or by Mr. Foster personally</w:t>
      </w:r>
      <w:r w:rsidRPr="00163D0E">
        <w:rPr>
          <w:rFonts w:ascii="Times New Roman" w:hAnsi="Times New Roman" w:cs="Times New Roman"/>
        </w:rPr>
        <w:t>. Nevertheless, a meeting was held to attempt to understand the position. The Council reiterated its request for a copy of the lease – none was provided. It also sought to ascertain how long Mr. Foster had lived at the property – Mr. Foster could not confirm</w:t>
      </w:r>
      <w:r w:rsidR="00216458">
        <w:rPr>
          <w:rFonts w:ascii="Times New Roman" w:hAnsi="Times New Roman" w:cs="Times New Roman"/>
        </w:rPr>
        <w:t xml:space="preserve"> a precise date or even </w:t>
      </w:r>
      <w:proofErr w:type="gramStart"/>
      <w:r w:rsidR="00216458">
        <w:rPr>
          <w:rFonts w:ascii="Times New Roman" w:hAnsi="Times New Roman" w:cs="Times New Roman"/>
        </w:rPr>
        <w:t>a period of time</w:t>
      </w:r>
      <w:proofErr w:type="gramEnd"/>
      <w:r w:rsidRPr="00163D0E">
        <w:rPr>
          <w:rFonts w:ascii="Times New Roman" w:hAnsi="Times New Roman" w:cs="Times New Roman"/>
        </w:rPr>
        <w:t xml:space="preserve">. Nor was any specific evidence provided as to the rent payable over time, although </w:t>
      </w:r>
      <w:proofErr w:type="gramStart"/>
      <w:r w:rsidRPr="00163D0E">
        <w:rPr>
          <w:rFonts w:ascii="Times New Roman" w:hAnsi="Times New Roman" w:cs="Times New Roman"/>
        </w:rPr>
        <w:t>on the basis of</w:t>
      </w:r>
      <w:proofErr w:type="gramEnd"/>
      <w:r w:rsidRPr="00163D0E">
        <w:rPr>
          <w:rFonts w:ascii="Times New Roman" w:hAnsi="Times New Roman" w:cs="Times New Roman"/>
        </w:rPr>
        <w:t xml:space="preserve"> the information provided orally to </w:t>
      </w:r>
      <w:r w:rsidR="00216458">
        <w:rPr>
          <w:rFonts w:ascii="Times New Roman" w:hAnsi="Times New Roman" w:cs="Times New Roman"/>
        </w:rPr>
        <w:t>TY</w:t>
      </w:r>
      <w:r w:rsidRPr="00163D0E">
        <w:rPr>
          <w:rFonts w:ascii="Times New Roman" w:hAnsi="Times New Roman" w:cs="Times New Roman"/>
        </w:rPr>
        <w:t>, the rent Mr. Foster is paying to Mr. Farrell exceeds the statutory “fair rent” that would be payable for a protected tenancy</w:t>
      </w:r>
      <w:r w:rsidRPr="00163D0E">
        <w:rPr>
          <w:rStyle w:val="FootnoteReference"/>
          <w:rFonts w:ascii="Times New Roman" w:hAnsi="Times New Roman" w:cs="Times New Roman"/>
        </w:rPr>
        <w:footnoteReference w:id="107"/>
      </w:r>
      <w:r w:rsidRPr="00163D0E">
        <w:rPr>
          <w:rFonts w:ascii="Times New Roman" w:hAnsi="Times New Roman" w:cs="Times New Roman"/>
        </w:rPr>
        <w:t xml:space="preserve">. </w:t>
      </w:r>
    </w:p>
    <w:p w:rsidRPr="00163D0E" w:rsidR="00855241" w:rsidP="00855241" w:rsidRDefault="00855241" w14:paraId="5CBDFBEC" w14:textId="77777777">
      <w:pPr>
        <w:pStyle w:val="ListParagraph"/>
        <w:rPr>
          <w:rFonts w:ascii="Times New Roman" w:hAnsi="Times New Roman" w:cs="Times New Roman"/>
        </w:rPr>
      </w:pPr>
    </w:p>
    <w:p w:rsidRPr="00163D0E" w:rsidR="00855241" w:rsidP="00594F05" w:rsidRDefault="00855241" w14:paraId="32009E19" w14:textId="4122ADC2">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In short, there is simply no evidence available to support the assertion that Mr. </w:t>
      </w:r>
      <w:proofErr w:type="gramStart"/>
      <w:r w:rsidRPr="00163D0E">
        <w:rPr>
          <w:rFonts w:ascii="Times New Roman" w:hAnsi="Times New Roman" w:cs="Times New Roman"/>
        </w:rPr>
        <w:t>Foster</w:t>
      </w:r>
      <w:proofErr w:type="gramEnd"/>
      <w:r w:rsidRPr="00163D0E">
        <w:rPr>
          <w:rFonts w:ascii="Times New Roman" w:hAnsi="Times New Roman" w:cs="Times New Roman"/>
        </w:rPr>
        <w:t xml:space="preserve"> benefits from a protected tenancy, and the Council is </w:t>
      </w:r>
      <w:r w:rsidR="00CE0492">
        <w:rPr>
          <w:rFonts w:ascii="Times New Roman" w:hAnsi="Times New Roman" w:cs="Times New Roman"/>
        </w:rPr>
        <w:t xml:space="preserve">therefore </w:t>
      </w:r>
      <w:r w:rsidRPr="00163D0E">
        <w:rPr>
          <w:rFonts w:ascii="Times New Roman" w:hAnsi="Times New Roman" w:cs="Times New Roman"/>
        </w:rPr>
        <w:t>unable to negotiate on this basis. Clearly, if any evidence is provided</w:t>
      </w:r>
      <w:r w:rsidR="00CE0492">
        <w:rPr>
          <w:rFonts w:ascii="Times New Roman" w:hAnsi="Times New Roman" w:cs="Times New Roman"/>
        </w:rPr>
        <w:t xml:space="preserve"> or becomes available</w:t>
      </w:r>
      <w:r w:rsidRPr="00163D0E">
        <w:rPr>
          <w:rFonts w:ascii="Times New Roman" w:hAnsi="Times New Roman" w:cs="Times New Roman"/>
        </w:rPr>
        <w:t xml:space="preserve">, </w:t>
      </w:r>
      <w:r w:rsidR="00216458">
        <w:rPr>
          <w:rFonts w:ascii="Times New Roman" w:hAnsi="Times New Roman" w:cs="Times New Roman"/>
        </w:rPr>
        <w:t>the Council</w:t>
      </w:r>
      <w:r w:rsidRPr="00163D0E">
        <w:rPr>
          <w:rFonts w:ascii="Times New Roman" w:hAnsi="Times New Roman" w:cs="Times New Roman"/>
        </w:rPr>
        <w:t xml:space="preserve"> will review this and act accordingly. However, the Council can only proceed on the evidence available to it, and at present there is, with respect, simply none</w:t>
      </w:r>
      <w:r w:rsidR="00216458">
        <w:rPr>
          <w:rFonts w:ascii="Times New Roman" w:hAnsi="Times New Roman" w:cs="Times New Roman"/>
        </w:rPr>
        <w:t>.</w:t>
      </w:r>
    </w:p>
    <w:p w:rsidRPr="00163D0E" w:rsidR="00855241" w:rsidP="00855241" w:rsidRDefault="00855241" w14:paraId="2267B9FC" w14:textId="77777777">
      <w:pPr>
        <w:pStyle w:val="ListParagraph"/>
        <w:rPr>
          <w:rFonts w:ascii="Times New Roman" w:hAnsi="Times New Roman" w:cs="Times New Roman"/>
        </w:rPr>
      </w:pPr>
    </w:p>
    <w:p w:rsidRPr="00163D0E" w:rsidR="00855241" w:rsidP="00594F05" w:rsidRDefault="00855241" w14:paraId="481D2D82" w14:textId="2744F8D0">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Mr. Foster’s representations indicate that he is aware of the support the Infusion team might offer to him</w:t>
      </w:r>
      <w:r w:rsidR="0007427B">
        <w:rPr>
          <w:rFonts w:ascii="Times New Roman" w:hAnsi="Times New Roman" w:cs="Times New Roman"/>
        </w:rPr>
        <w:t xml:space="preserve"> (he references a meeting with the Infusion team, </w:t>
      </w:r>
      <w:r w:rsidRPr="00163D0E">
        <w:rPr>
          <w:rFonts w:ascii="Times New Roman" w:hAnsi="Times New Roman" w:cs="Times New Roman"/>
        </w:rPr>
        <w:t xml:space="preserve">although </w:t>
      </w:r>
      <w:r w:rsidR="00216458">
        <w:rPr>
          <w:rFonts w:ascii="Times New Roman" w:hAnsi="Times New Roman" w:cs="Times New Roman"/>
        </w:rPr>
        <w:t>the Infusion team has</w:t>
      </w:r>
      <w:r w:rsidRPr="00163D0E">
        <w:rPr>
          <w:rFonts w:ascii="Times New Roman" w:hAnsi="Times New Roman" w:cs="Times New Roman"/>
        </w:rPr>
        <w:t xml:space="preserve"> no record of contact from </w:t>
      </w:r>
      <w:r w:rsidR="00216458">
        <w:rPr>
          <w:rFonts w:ascii="Times New Roman" w:hAnsi="Times New Roman" w:cs="Times New Roman"/>
        </w:rPr>
        <w:t>Mr. Foster</w:t>
      </w:r>
      <w:r w:rsidRPr="00163D0E">
        <w:rPr>
          <w:rFonts w:ascii="Times New Roman" w:hAnsi="Times New Roman" w:cs="Times New Roman"/>
        </w:rPr>
        <w:t xml:space="preserve"> to date</w:t>
      </w:r>
      <w:r w:rsidR="0007427B">
        <w:rPr>
          <w:rFonts w:ascii="Times New Roman" w:hAnsi="Times New Roman" w:cs="Times New Roman"/>
        </w:rPr>
        <w:t>)</w:t>
      </w:r>
      <w:r w:rsidRPr="00163D0E">
        <w:rPr>
          <w:rFonts w:ascii="Times New Roman" w:hAnsi="Times New Roman" w:cs="Times New Roman"/>
        </w:rPr>
        <w:t xml:space="preserve">. As Ms. Aldridge confirmed, Infusion would be more than happy to assist, however, should Mr. </w:t>
      </w:r>
      <w:proofErr w:type="gramStart"/>
      <w:r w:rsidRPr="00163D0E">
        <w:rPr>
          <w:rFonts w:ascii="Times New Roman" w:hAnsi="Times New Roman" w:cs="Times New Roman"/>
        </w:rPr>
        <w:t>Foster</w:t>
      </w:r>
      <w:proofErr w:type="gramEnd"/>
      <w:r w:rsidRPr="00163D0E">
        <w:rPr>
          <w:rFonts w:ascii="Times New Roman" w:hAnsi="Times New Roman" w:cs="Times New Roman"/>
        </w:rPr>
        <w:t xml:space="preserve"> wish to take this forward. This could include tailored assistance </w:t>
      </w:r>
      <w:r w:rsidR="00216458">
        <w:rPr>
          <w:rFonts w:ascii="Times New Roman" w:hAnsi="Times New Roman" w:cs="Times New Roman"/>
        </w:rPr>
        <w:t>in respect of the issues that Mr. Foster has identified relating to his</w:t>
      </w:r>
      <w:r w:rsidRPr="00163D0E">
        <w:rPr>
          <w:rFonts w:ascii="Times New Roman" w:hAnsi="Times New Roman" w:cs="Times New Roman"/>
        </w:rPr>
        <w:t xml:space="preserve"> age, health, and locational requirements</w:t>
      </w:r>
      <w:r w:rsidR="00216458">
        <w:rPr>
          <w:rFonts w:ascii="Times New Roman" w:hAnsi="Times New Roman" w:cs="Times New Roman"/>
        </w:rPr>
        <w:t>, as</w:t>
      </w:r>
      <w:r w:rsidRPr="00163D0E">
        <w:rPr>
          <w:rFonts w:ascii="Times New Roman" w:hAnsi="Times New Roman" w:cs="Times New Roman"/>
        </w:rPr>
        <w:t xml:space="preserve"> noted in his objection. </w:t>
      </w:r>
    </w:p>
    <w:p w:rsidRPr="00163D0E" w:rsidR="00594F05" w:rsidP="00594F05" w:rsidRDefault="00594F05" w14:paraId="08001ADC" w14:textId="77777777">
      <w:pPr>
        <w:pStyle w:val="ListParagraph"/>
        <w:rPr>
          <w:rFonts w:ascii="Times New Roman" w:hAnsi="Times New Roman" w:cs="Times New Roman"/>
        </w:rPr>
      </w:pPr>
    </w:p>
    <w:p w:rsidRPr="00163D0E" w:rsidR="00594F05" w:rsidP="00594F05" w:rsidRDefault="00594F05" w14:paraId="5E629BCE" w14:textId="770DF8C7">
      <w:pPr>
        <w:spacing w:line="360" w:lineRule="auto"/>
        <w:rPr>
          <w:rFonts w:ascii="Times New Roman" w:hAnsi="Times New Roman" w:cs="Times New Roman"/>
          <w:u w:val="single"/>
        </w:rPr>
      </w:pPr>
      <w:r w:rsidRPr="00163D0E">
        <w:rPr>
          <w:rFonts w:ascii="Times New Roman" w:hAnsi="Times New Roman" w:cs="Times New Roman"/>
          <w:u w:val="single"/>
        </w:rPr>
        <w:t>Conclusion in respect of objections</w:t>
      </w:r>
    </w:p>
    <w:p w:rsidRPr="00163D0E" w:rsidR="00594F05" w:rsidP="00594F05" w:rsidRDefault="00594F05" w14:paraId="25CD489D" w14:textId="77777777">
      <w:pPr>
        <w:spacing w:line="360" w:lineRule="auto"/>
        <w:rPr>
          <w:rFonts w:ascii="Times New Roman" w:hAnsi="Times New Roman" w:cs="Times New Roman"/>
          <w:u w:val="single"/>
        </w:rPr>
      </w:pPr>
    </w:p>
    <w:p w:rsidRPr="00163D0E" w:rsidR="00594F05" w:rsidP="00594F05" w:rsidRDefault="00594F05" w14:paraId="7A49D9E3" w14:textId="6A70CFA7">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Drawing all this together, there has been significant, meaningful, and direct engagement with those affected by the Order, and the Council has sought to acquire all land and rights by agreement (§2.2 CPO Guidance). Further, the Council has thoroughly considered the interests of those affected and has put in place measures to mitigate against any identified impacts (2.5 and 13.4 CPO Guidance).  </w:t>
      </w:r>
    </w:p>
    <w:p w:rsidRPr="00163D0E" w:rsidR="00594F05" w:rsidP="00594F05" w:rsidRDefault="00594F05" w14:paraId="2FE9215F" w14:textId="77777777">
      <w:pPr>
        <w:pStyle w:val="ListParagraph"/>
        <w:spacing w:line="360" w:lineRule="auto"/>
        <w:rPr>
          <w:rFonts w:ascii="Times New Roman" w:hAnsi="Times New Roman" w:cs="Times New Roman"/>
        </w:rPr>
      </w:pPr>
    </w:p>
    <w:p w:rsidRPr="00163D0E" w:rsidR="00594F05" w:rsidP="00594F05" w:rsidRDefault="00594F05" w14:paraId="7AC0A4C7" w14:textId="6E3FBE52">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It has not been possible, at the date of writing these submissions, to </w:t>
      </w:r>
      <w:r w:rsidR="00216458">
        <w:rPr>
          <w:rFonts w:ascii="Times New Roman" w:hAnsi="Times New Roman" w:cs="Times New Roman"/>
        </w:rPr>
        <w:t xml:space="preserve">reach </w:t>
      </w:r>
      <w:r w:rsidRPr="00163D0E">
        <w:rPr>
          <w:rFonts w:ascii="Times New Roman" w:hAnsi="Times New Roman" w:cs="Times New Roman"/>
        </w:rPr>
        <w:t>agree</w:t>
      </w:r>
      <w:r w:rsidR="00216458">
        <w:rPr>
          <w:rFonts w:ascii="Times New Roman" w:hAnsi="Times New Roman" w:cs="Times New Roman"/>
        </w:rPr>
        <w:t>ment</w:t>
      </w:r>
      <w:r w:rsidRPr="00163D0E">
        <w:rPr>
          <w:rFonts w:ascii="Times New Roman" w:hAnsi="Times New Roman" w:cs="Times New Roman"/>
        </w:rPr>
        <w:t xml:space="preserve"> with everyone. However, and notwithstanding the Council’s efforts, assistance, and the constructive engagement that has occurred, negotiations have now been ongoing for more than 2 years. It is currently a condition of the Town Deal and LUF funding that funds must be expended by March 2026. The CPO is required as measure of last resort to ensure that the potential to realise the benefits of the scheme, which are so critical to Blackpool, is not lost.</w:t>
      </w:r>
    </w:p>
    <w:p w:rsidRPr="00163D0E" w:rsidR="00594F05" w:rsidP="00594F05" w:rsidRDefault="00594F05" w14:paraId="74D1A0EB" w14:textId="77777777">
      <w:pPr>
        <w:pStyle w:val="ListParagraph"/>
        <w:rPr>
          <w:rFonts w:ascii="Times New Roman" w:hAnsi="Times New Roman" w:cs="Times New Roman"/>
        </w:rPr>
      </w:pPr>
    </w:p>
    <w:p w:rsidRPr="00163D0E" w:rsidR="00594F05" w:rsidP="00594F05" w:rsidRDefault="00594F05" w14:paraId="26FA8BCB" w14:textId="4CC53750">
      <w:pPr>
        <w:spacing w:line="360" w:lineRule="auto"/>
        <w:rPr>
          <w:rFonts w:ascii="Times New Roman" w:hAnsi="Times New Roman" w:cs="Times New Roman"/>
          <w:u w:val="single"/>
        </w:rPr>
      </w:pPr>
      <w:r w:rsidRPr="00163D0E">
        <w:rPr>
          <w:rFonts w:ascii="Times New Roman" w:hAnsi="Times New Roman" w:cs="Times New Roman"/>
          <w:u w:val="single"/>
        </w:rPr>
        <w:t>Public Sector Equality Duty</w:t>
      </w:r>
    </w:p>
    <w:p w:rsidRPr="00163D0E" w:rsidR="00907F5B" w:rsidP="00907F5B" w:rsidRDefault="00907F5B" w14:paraId="70A42D59" w14:textId="5C4728CC">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In performing its public functions</w:t>
      </w:r>
      <w:r w:rsidR="00163D0E">
        <w:rPr>
          <w:rFonts w:ascii="Times New Roman" w:hAnsi="Times New Roman" w:cs="Times New Roman"/>
        </w:rPr>
        <w:t xml:space="preserve"> relating to the CPO</w:t>
      </w:r>
      <w:r w:rsidRPr="00163D0E">
        <w:rPr>
          <w:rFonts w:ascii="Times New Roman" w:hAnsi="Times New Roman" w:cs="Times New Roman"/>
        </w:rPr>
        <w:t xml:space="preserve">, the Council has complied with the Public Sector Equality Duty set out in s149 of the Equality Act 2010. This is because, </w:t>
      </w:r>
      <w:r w:rsidR="00554655">
        <w:rPr>
          <w:rFonts w:ascii="Times New Roman" w:hAnsi="Times New Roman" w:cs="Times New Roman"/>
        </w:rPr>
        <w:t xml:space="preserve">in exercising its public functions relating to the CPO, on a continuous basis </w:t>
      </w:r>
      <w:r w:rsidRPr="00163D0E">
        <w:rPr>
          <w:rFonts w:ascii="Times New Roman" w:hAnsi="Times New Roman" w:cs="Times New Roman"/>
        </w:rPr>
        <w:t>throughout the entire CPO process</w:t>
      </w:r>
      <w:r w:rsidR="00EE01DE">
        <w:rPr>
          <w:rFonts w:ascii="Times New Roman" w:hAnsi="Times New Roman" w:cs="Times New Roman"/>
        </w:rPr>
        <w:t>,</w:t>
      </w:r>
      <w:r w:rsidRPr="00163D0E">
        <w:rPr>
          <w:rFonts w:ascii="Times New Roman" w:hAnsi="Times New Roman" w:cs="Times New Roman"/>
        </w:rPr>
        <w:t xml:space="preserve"> the Council has had due regard to the three </w:t>
      </w:r>
      <w:r w:rsidR="00554655">
        <w:rPr>
          <w:rFonts w:ascii="Times New Roman" w:hAnsi="Times New Roman" w:cs="Times New Roman"/>
        </w:rPr>
        <w:t>aims</w:t>
      </w:r>
      <w:r w:rsidRPr="00163D0E">
        <w:rPr>
          <w:rFonts w:ascii="Times New Roman" w:hAnsi="Times New Roman" w:cs="Times New Roman"/>
        </w:rPr>
        <w:t xml:space="preserve"> set out in the Equality Act 2010</w:t>
      </w:r>
      <w:r w:rsidR="00554655">
        <w:rPr>
          <w:rFonts w:ascii="Times New Roman" w:hAnsi="Times New Roman" w:cs="Times New Roman"/>
        </w:rPr>
        <w:t xml:space="preserve">. It has been both cognisant of the </w:t>
      </w:r>
      <w:r w:rsidR="00554655">
        <w:rPr>
          <w:rFonts w:ascii="Times New Roman" w:hAnsi="Times New Roman" w:cs="Times New Roman"/>
        </w:rPr>
        <w:lastRenderedPageBreak/>
        <w:t>duty, and its evidence demonstrates that it has had a proper appreciation of the impact of the CPO on the equality objectives and the desirability of promoting them.</w:t>
      </w:r>
    </w:p>
    <w:p w:rsidRPr="00163D0E" w:rsidR="00907F5B" w:rsidP="00907F5B" w:rsidRDefault="00907F5B" w14:paraId="45EC85EA" w14:textId="77777777">
      <w:pPr>
        <w:pStyle w:val="ListParagraph"/>
        <w:spacing w:line="360" w:lineRule="auto"/>
        <w:rPr>
          <w:rFonts w:ascii="Times New Roman" w:hAnsi="Times New Roman" w:cs="Times New Roman"/>
        </w:rPr>
      </w:pPr>
    </w:p>
    <w:p w:rsidRPr="00163D0E" w:rsidR="00907F5B" w:rsidP="00554655" w:rsidRDefault="00554655" w14:paraId="5584E48B" w14:textId="1997D281">
      <w:pPr>
        <w:pStyle w:val="ListParagraph"/>
        <w:numPr>
          <w:ilvl w:val="0"/>
          <w:numId w:val="20"/>
        </w:numPr>
        <w:spacing w:line="360" w:lineRule="auto"/>
        <w:rPr>
          <w:rFonts w:ascii="Times New Roman" w:hAnsi="Times New Roman" w:cs="Times New Roman"/>
        </w:rPr>
      </w:pPr>
      <w:r>
        <w:rPr>
          <w:rFonts w:ascii="Times New Roman" w:hAnsi="Times New Roman" w:cs="Times New Roman"/>
        </w:rPr>
        <w:t xml:space="preserve">Whilst </w:t>
      </w:r>
      <w:r w:rsidRPr="00163D0E" w:rsidR="00907F5B">
        <w:rPr>
          <w:rFonts w:ascii="Times New Roman" w:hAnsi="Times New Roman" w:cs="Times New Roman"/>
        </w:rPr>
        <w:t xml:space="preserve">the </w:t>
      </w:r>
      <w:r>
        <w:rPr>
          <w:rFonts w:ascii="Times New Roman" w:hAnsi="Times New Roman" w:cs="Times New Roman"/>
        </w:rPr>
        <w:t>public function</w:t>
      </w:r>
      <w:r w:rsidRPr="00163D0E" w:rsidR="00907F5B">
        <w:rPr>
          <w:rFonts w:ascii="Times New Roman" w:hAnsi="Times New Roman" w:cs="Times New Roman"/>
        </w:rPr>
        <w:t xml:space="preserve"> for consideration</w:t>
      </w:r>
      <w:r w:rsidR="00163D0E">
        <w:rPr>
          <w:rFonts w:ascii="Times New Roman" w:hAnsi="Times New Roman" w:cs="Times New Roman"/>
        </w:rPr>
        <w:t xml:space="preserve"> in these proceedings</w:t>
      </w:r>
      <w:r w:rsidRPr="00163D0E" w:rsidR="00907F5B">
        <w:rPr>
          <w:rFonts w:ascii="Times New Roman" w:hAnsi="Times New Roman" w:cs="Times New Roman"/>
        </w:rPr>
        <w:t xml:space="preserve"> </w:t>
      </w:r>
      <w:r>
        <w:rPr>
          <w:rFonts w:ascii="Times New Roman" w:hAnsi="Times New Roman" w:cs="Times New Roman"/>
        </w:rPr>
        <w:t>concern the CPO,</w:t>
      </w:r>
      <w:r w:rsidRPr="00163D0E" w:rsidR="00907F5B">
        <w:rPr>
          <w:rFonts w:ascii="Times New Roman" w:hAnsi="Times New Roman" w:cs="Times New Roman"/>
        </w:rPr>
        <w:t xml:space="preserve"> it is of relevance in contextual terms that there are repeated references in the written material </w:t>
      </w:r>
      <w:r w:rsidR="00163D0E">
        <w:rPr>
          <w:rFonts w:ascii="Times New Roman" w:hAnsi="Times New Roman" w:cs="Times New Roman"/>
        </w:rPr>
        <w:t>before the inquiry to</w:t>
      </w:r>
      <w:r w:rsidRPr="00163D0E" w:rsidR="00907F5B">
        <w:rPr>
          <w:rFonts w:ascii="Times New Roman" w:hAnsi="Times New Roman" w:cs="Times New Roman"/>
        </w:rPr>
        <w:t xml:space="preserve"> demonstrate that the Council has been cognisant of the PSED throughout</w:t>
      </w:r>
      <w:r w:rsidR="00163D0E">
        <w:rPr>
          <w:rFonts w:ascii="Times New Roman" w:hAnsi="Times New Roman" w:cs="Times New Roman"/>
        </w:rPr>
        <w:t xml:space="preserve"> each stage of the</w:t>
      </w:r>
      <w:r w:rsidR="00216458">
        <w:rPr>
          <w:rFonts w:ascii="Times New Roman" w:hAnsi="Times New Roman" w:cs="Times New Roman"/>
        </w:rPr>
        <w:t xml:space="preserve"> wider</w:t>
      </w:r>
      <w:r w:rsidR="00163D0E">
        <w:rPr>
          <w:rFonts w:ascii="Times New Roman" w:hAnsi="Times New Roman" w:cs="Times New Roman"/>
        </w:rPr>
        <w:t xml:space="preserve"> Multiversity project</w:t>
      </w:r>
      <w:r w:rsidRPr="00163D0E" w:rsidR="00907F5B">
        <w:rPr>
          <w:rStyle w:val="FootnoteReference"/>
          <w:rFonts w:ascii="Times New Roman" w:hAnsi="Times New Roman" w:cs="Times New Roman"/>
        </w:rPr>
        <w:footnoteReference w:id="108"/>
      </w:r>
      <w:r w:rsidRPr="00163D0E" w:rsidR="00907F5B">
        <w:rPr>
          <w:rFonts w:ascii="Times New Roman" w:hAnsi="Times New Roman" w:cs="Times New Roman"/>
        </w:rPr>
        <w:t xml:space="preserve">. </w:t>
      </w:r>
    </w:p>
    <w:p w:rsidRPr="00163D0E" w:rsidR="00907F5B" w:rsidP="00907F5B" w:rsidRDefault="00907F5B" w14:paraId="5B01189D" w14:textId="77777777">
      <w:pPr>
        <w:pStyle w:val="ListParagraph"/>
        <w:rPr>
          <w:rFonts w:ascii="Times New Roman" w:hAnsi="Times New Roman" w:cs="Times New Roman"/>
        </w:rPr>
      </w:pPr>
    </w:p>
    <w:p w:rsidR="00554655" w:rsidP="00554655" w:rsidRDefault="00554655" w14:paraId="2D014B12" w14:textId="42B23DC2">
      <w:pPr>
        <w:pStyle w:val="ListParagraph"/>
        <w:numPr>
          <w:ilvl w:val="0"/>
          <w:numId w:val="20"/>
        </w:numPr>
        <w:spacing w:line="360" w:lineRule="auto"/>
        <w:rPr>
          <w:rFonts w:ascii="Times New Roman" w:hAnsi="Times New Roman" w:cs="Times New Roman"/>
        </w:rPr>
      </w:pPr>
      <w:r>
        <w:rPr>
          <w:rFonts w:ascii="Times New Roman" w:hAnsi="Times New Roman" w:cs="Times New Roman"/>
        </w:rPr>
        <w:t>In</w:t>
      </w:r>
      <w:r w:rsidRPr="00163D0E" w:rsidR="00907F5B">
        <w:rPr>
          <w:rFonts w:ascii="Times New Roman" w:hAnsi="Times New Roman" w:cs="Times New Roman"/>
        </w:rPr>
        <w:t xml:space="preserve"> the Executive Report authorising the making of the CPO</w:t>
      </w:r>
      <w:r>
        <w:rPr>
          <w:rStyle w:val="FootnoteReference"/>
          <w:rFonts w:ascii="Times New Roman" w:hAnsi="Times New Roman" w:cs="Times New Roman"/>
        </w:rPr>
        <w:footnoteReference w:id="109"/>
      </w:r>
      <w:r>
        <w:rPr>
          <w:rFonts w:ascii="Times New Roman" w:hAnsi="Times New Roman" w:cs="Times New Roman"/>
        </w:rPr>
        <w:t>,</w:t>
      </w:r>
      <w:r w:rsidRPr="00163D0E" w:rsidR="00907F5B">
        <w:rPr>
          <w:rFonts w:ascii="Times New Roman" w:hAnsi="Times New Roman" w:cs="Times New Roman"/>
        </w:rPr>
        <w:t xml:space="preserve"> under the heading </w:t>
      </w:r>
      <w:r w:rsidRPr="00163D0E" w:rsidR="00907F5B">
        <w:rPr>
          <w:rFonts w:ascii="Times New Roman" w:hAnsi="Times New Roman" w:cs="Times New Roman"/>
          <w:i/>
          <w:iCs/>
        </w:rPr>
        <w:t>“Equalities implications and the impact of this decision for our children and young people”,</w:t>
      </w:r>
      <w:r w:rsidRPr="00163D0E" w:rsidR="00907F5B">
        <w:rPr>
          <w:rFonts w:ascii="Times New Roman" w:hAnsi="Times New Roman" w:cs="Times New Roman"/>
        </w:rPr>
        <w:t xml:space="preserve"> the Council </w:t>
      </w:r>
      <w:r>
        <w:rPr>
          <w:rFonts w:ascii="Times New Roman" w:hAnsi="Times New Roman" w:cs="Times New Roman"/>
        </w:rPr>
        <w:t xml:space="preserve">expressly recognises the Equalities Act and is clearly cognisant of it. Further, in considering equalities implications, the Council </w:t>
      </w:r>
      <w:r w:rsidRPr="00163D0E" w:rsidR="00907F5B">
        <w:rPr>
          <w:rFonts w:ascii="Times New Roman" w:hAnsi="Times New Roman" w:cs="Times New Roman"/>
        </w:rPr>
        <w:t>recognise</w:t>
      </w:r>
      <w:r>
        <w:rPr>
          <w:rFonts w:ascii="Times New Roman" w:hAnsi="Times New Roman" w:cs="Times New Roman"/>
        </w:rPr>
        <w:t>s</w:t>
      </w:r>
      <w:r w:rsidRPr="00163D0E" w:rsidR="00907F5B">
        <w:rPr>
          <w:rFonts w:ascii="Times New Roman" w:hAnsi="Times New Roman" w:cs="Times New Roman"/>
        </w:rPr>
        <w:t xml:space="preserve"> the challenges and disruption that can come from acquiring people’s homes</w:t>
      </w:r>
      <w:r>
        <w:rPr>
          <w:rFonts w:ascii="Times New Roman" w:hAnsi="Times New Roman" w:cs="Times New Roman"/>
        </w:rPr>
        <w:t xml:space="preserve">, and that for this reason representatives from the Infusion team have taken extensive measures to engage with all the residents and owners of property in the CPO area to determine if they have any particular and specific needs or requirements that they need assistance with and this will continue throughout the CPO process. The Council sets out that this will be monitored and reviewed throughout the process to ensure that future impacts can be measured and mitigated against as necessary. </w:t>
      </w:r>
    </w:p>
    <w:p w:rsidRPr="00554655" w:rsidR="00554655" w:rsidP="00554655" w:rsidRDefault="00554655" w14:paraId="25A9CF6D" w14:textId="77777777">
      <w:pPr>
        <w:pStyle w:val="ListParagraph"/>
        <w:rPr>
          <w:rFonts w:ascii="Times New Roman" w:hAnsi="Times New Roman" w:cs="Times New Roman"/>
        </w:rPr>
      </w:pPr>
    </w:p>
    <w:p w:rsidR="00554655" w:rsidP="00554655" w:rsidRDefault="00554655" w14:paraId="324DE9BD" w14:textId="396E9A2A">
      <w:pPr>
        <w:pStyle w:val="ListParagraph"/>
        <w:numPr>
          <w:ilvl w:val="0"/>
          <w:numId w:val="20"/>
        </w:numPr>
        <w:spacing w:line="360" w:lineRule="auto"/>
        <w:rPr>
          <w:rFonts w:ascii="Times New Roman" w:hAnsi="Times New Roman" w:cs="Times New Roman"/>
        </w:rPr>
      </w:pPr>
      <w:r>
        <w:rPr>
          <w:rFonts w:ascii="Times New Roman" w:hAnsi="Times New Roman" w:cs="Times New Roman"/>
        </w:rPr>
        <w:t>The written, and compelling oral, evidence of KA has given further detail as to the role of Infusion. As out above, Infusion was engaged by the Growth and Prosperity team prior to the making of the Order in March 2023, at the request of Members of the Council. The team</w:t>
      </w:r>
      <w:r w:rsidRPr="00163D0E">
        <w:rPr>
          <w:rFonts w:ascii="Times New Roman" w:hAnsi="Times New Roman" w:cs="Times New Roman"/>
        </w:rPr>
        <w:t xml:space="preserve"> devised a process which promoted equality of opportunity by </w:t>
      </w:r>
      <w:r>
        <w:rPr>
          <w:rFonts w:ascii="Times New Roman" w:hAnsi="Times New Roman" w:cs="Times New Roman"/>
        </w:rPr>
        <w:t xml:space="preserve">gathering sufficient information to enable performance of the duty, </w:t>
      </w:r>
      <w:r w:rsidR="00EE01DE">
        <w:rPr>
          <w:rFonts w:ascii="Times New Roman" w:hAnsi="Times New Roman" w:cs="Times New Roman"/>
        </w:rPr>
        <w:t xml:space="preserve">and </w:t>
      </w:r>
      <w:r>
        <w:rPr>
          <w:rFonts w:ascii="Times New Roman" w:hAnsi="Times New Roman" w:cs="Times New Roman"/>
        </w:rPr>
        <w:t xml:space="preserve">by identifying and seeking to </w:t>
      </w:r>
      <w:r w:rsidRPr="00163D0E">
        <w:rPr>
          <w:rFonts w:ascii="Times New Roman" w:hAnsi="Times New Roman" w:cs="Times New Roman"/>
        </w:rPr>
        <w:t xml:space="preserve">address </w:t>
      </w:r>
      <w:r>
        <w:rPr>
          <w:rFonts w:ascii="Times New Roman" w:hAnsi="Times New Roman" w:cs="Times New Roman"/>
        </w:rPr>
        <w:t xml:space="preserve">and mitigate </w:t>
      </w:r>
      <w:proofErr w:type="gramStart"/>
      <w:r w:rsidRPr="00163D0E">
        <w:rPr>
          <w:rFonts w:ascii="Times New Roman" w:hAnsi="Times New Roman" w:cs="Times New Roman"/>
        </w:rPr>
        <w:t>particular problems</w:t>
      </w:r>
      <w:proofErr w:type="gramEnd"/>
      <w:r w:rsidRPr="00163D0E">
        <w:rPr>
          <w:rFonts w:ascii="Times New Roman" w:hAnsi="Times New Roman" w:cs="Times New Roman"/>
        </w:rPr>
        <w:t xml:space="preserve"> that people with protected characteristics </w:t>
      </w:r>
      <w:r>
        <w:rPr>
          <w:rFonts w:ascii="Times New Roman" w:hAnsi="Times New Roman" w:cs="Times New Roman"/>
        </w:rPr>
        <w:t xml:space="preserve">(and </w:t>
      </w:r>
      <w:r>
        <w:rPr>
          <w:rFonts w:ascii="Times New Roman" w:hAnsi="Times New Roman" w:cs="Times New Roman"/>
        </w:rPr>
        <w:lastRenderedPageBreak/>
        <w:t xml:space="preserve">others with particular vulnerabilities) </w:t>
      </w:r>
      <w:r w:rsidRPr="00163D0E">
        <w:rPr>
          <w:rFonts w:ascii="Times New Roman" w:hAnsi="Times New Roman" w:cs="Times New Roman"/>
        </w:rPr>
        <w:t>might have.</w:t>
      </w:r>
      <w:r>
        <w:rPr>
          <w:rFonts w:ascii="Times New Roman" w:hAnsi="Times New Roman" w:cs="Times New Roman"/>
        </w:rPr>
        <w:t xml:space="preserve"> Further, the Growth and Prosperity team, in their engagement with Infusion, and additional consideration of specific mitigations within the CPO process that could assist affected individuals, demonstrates compliance in substance with the PSED. Th</w:t>
      </w:r>
      <w:r w:rsidR="00EE01DE">
        <w:rPr>
          <w:rFonts w:ascii="Times New Roman" w:hAnsi="Times New Roman" w:cs="Times New Roman"/>
        </w:rPr>
        <w:t>e Council’s actions</w:t>
      </w:r>
      <w:r>
        <w:rPr>
          <w:rFonts w:ascii="Times New Roman" w:hAnsi="Times New Roman" w:cs="Times New Roman"/>
        </w:rPr>
        <w:t xml:space="preserve"> clearly accord</w:t>
      </w:r>
      <w:r w:rsidR="00CE0492">
        <w:rPr>
          <w:rFonts w:ascii="Times New Roman" w:hAnsi="Times New Roman" w:cs="Times New Roman"/>
        </w:rPr>
        <w:t xml:space="preserve"> </w:t>
      </w:r>
      <w:r>
        <w:rPr>
          <w:rFonts w:ascii="Times New Roman" w:hAnsi="Times New Roman" w:cs="Times New Roman"/>
        </w:rPr>
        <w:t>with paragraphs 6.1- 6.2 CPO Guidance.</w:t>
      </w:r>
    </w:p>
    <w:p w:rsidRPr="00554655" w:rsidR="00554655" w:rsidP="00554655" w:rsidRDefault="00554655" w14:paraId="720CBE51" w14:textId="77777777">
      <w:pPr>
        <w:pStyle w:val="ListParagraph"/>
        <w:rPr>
          <w:rFonts w:ascii="Times New Roman" w:hAnsi="Times New Roman" w:cs="Times New Roman"/>
        </w:rPr>
      </w:pPr>
    </w:p>
    <w:p w:rsidR="00554655" w:rsidP="00554655" w:rsidRDefault="00554655" w14:paraId="0E262536" w14:textId="6A717382">
      <w:pPr>
        <w:pStyle w:val="ListParagraph"/>
        <w:numPr>
          <w:ilvl w:val="0"/>
          <w:numId w:val="20"/>
        </w:numPr>
        <w:spacing w:line="360" w:lineRule="auto"/>
        <w:rPr>
          <w:rFonts w:ascii="Times New Roman" w:hAnsi="Times New Roman" w:cs="Times New Roman"/>
        </w:rPr>
      </w:pPr>
      <w:r w:rsidRPr="00554655">
        <w:rPr>
          <w:rFonts w:ascii="Times New Roman" w:hAnsi="Times New Roman" w:cs="Times New Roman"/>
        </w:rPr>
        <w:t>Whilst t</w:t>
      </w:r>
      <w:r w:rsidRPr="00554655" w:rsidR="00907F5B">
        <w:rPr>
          <w:rFonts w:ascii="Times New Roman" w:hAnsi="Times New Roman" w:cs="Times New Roman"/>
        </w:rPr>
        <w:t xml:space="preserve">here is no requirement to carry out an Equalities Impact Assessment at any </w:t>
      </w:r>
      <w:proofErr w:type="gramStart"/>
      <w:r w:rsidRPr="00554655" w:rsidR="00907F5B">
        <w:rPr>
          <w:rFonts w:ascii="Times New Roman" w:hAnsi="Times New Roman" w:cs="Times New Roman"/>
        </w:rPr>
        <w:t>particular moment</w:t>
      </w:r>
      <w:proofErr w:type="gramEnd"/>
      <w:r w:rsidRPr="00554655" w:rsidR="00907F5B">
        <w:rPr>
          <w:rFonts w:ascii="Times New Roman" w:hAnsi="Times New Roman" w:cs="Times New Roman"/>
        </w:rPr>
        <w:t xml:space="preserve"> in the process of decision making or at all</w:t>
      </w:r>
      <w:r w:rsidRPr="00163D0E" w:rsidR="00907F5B">
        <w:rPr>
          <w:rStyle w:val="FootnoteReference"/>
          <w:rFonts w:ascii="Times New Roman" w:hAnsi="Times New Roman" w:cs="Times New Roman"/>
        </w:rPr>
        <w:footnoteReference w:id="110"/>
      </w:r>
      <w:r w:rsidRPr="00554655" w:rsidR="00907F5B">
        <w:rPr>
          <w:rFonts w:ascii="Times New Roman" w:hAnsi="Times New Roman" w:cs="Times New Roman"/>
        </w:rPr>
        <w:t xml:space="preserve">, the Council </w:t>
      </w:r>
      <w:r>
        <w:rPr>
          <w:rFonts w:ascii="Times New Roman" w:hAnsi="Times New Roman" w:cs="Times New Roman"/>
        </w:rPr>
        <w:t xml:space="preserve">also </w:t>
      </w:r>
      <w:r w:rsidRPr="00554655" w:rsidR="00907F5B">
        <w:rPr>
          <w:rFonts w:ascii="Times New Roman" w:hAnsi="Times New Roman" w:cs="Times New Roman"/>
        </w:rPr>
        <w:t xml:space="preserve">produced an Equalities Impact Assessment prior to making the Order to </w:t>
      </w:r>
      <w:r w:rsidRPr="00554655">
        <w:rPr>
          <w:rFonts w:ascii="Times New Roman" w:hAnsi="Times New Roman" w:cs="Times New Roman"/>
        </w:rPr>
        <w:t>assist in gathering information and to consider</w:t>
      </w:r>
      <w:r w:rsidRPr="00554655" w:rsidR="00907F5B">
        <w:rPr>
          <w:rFonts w:ascii="Times New Roman" w:hAnsi="Times New Roman" w:cs="Times New Roman"/>
        </w:rPr>
        <w:t xml:space="preserve"> the potential effects of the Order on groups with protected characteristics</w:t>
      </w:r>
      <w:r w:rsidRPr="00554655">
        <w:rPr>
          <w:rFonts w:ascii="Times New Roman" w:hAnsi="Times New Roman" w:cs="Times New Roman"/>
        </w:rPr>
        <w:t xml:space="preserve"> that might be affected by the Order</w:t>
      </w:r>
      <w:r w:rsidRPr="00163D0E" w:rsidR="00907F5B">
        <w:rPr>
          <w:rStyle w:val="FootnoteReference"/>
          <w:rFonts w:ascii="Times New Roman" w:hAnsi="Times New Roman" w:cs="Times New Roman"/>
        </w:rPr>
        <w:footnoteReference w:id="111"/>
      </w:r>
      <w:r w:rsidRPr="00554655" w:rsidR="00907F5B">
        <w:rPr>
          <w:rFonts w:ascii="Times New Roman" w:hAnsi="Times New Roman" w:cs="Times New Roman"/>
        </w:rPr>
        <w:t xml:space="preserve"> . KA’s evidence is that the </w:t>
      </w:r>
      <w:proofErr w:type="spellStart"/>
      <w:r w:rsidRPr="00554655" w:rsidR="00907F5B">
        <w:rPr>
          <w:rFonts w:ascii="Times New Roman" w:hAnsi="Times New Roman" w:cs="Times New Roman"/>
        </w:rPr>
        <w:t>EqIA</w:t>
      </w:r>
      <w:proofErr w:type="spellEnd"/>
      <w:r w:rsidRPr="00554655" w:rsidR="00907F5B">
        <w:rPr>
          <w:rFonts w:ascii="Times New Roman" w:hAnsi="Times New Roman" w:cs="Times New Roman"/>
        </w:rPr>
        <w:t xml:space="preserve"> was contributed to by her (on behalf of Infusion) in collaboration with the Growth and Prosperity Team. </w:t>
      </w:r>
      <w:r w:rsidR="00EE01DE">
        <w:rPr>
          <w:rFonts w:ascii="Times New Roman" w:hAnsi="Times New Roman" w:cs="Times New Roman"/>
        </w:rPr>
        <w:t xml:space="preserve">It </w:t>
      </w:r>
      <w:r w:rsidRPr="00554655" w:rsidR="00907F5B">
        <w:rPr>
          <w:rFonts w:ascii="Times New Roman" w:hAnsi="Times New Roman" w:cs="Times New Roman"/>
        </w:rPr>
        <w:t>provided</w:t>
      </w:r>
      <w:r>
        <w:rPr>
          <w:rFonts w:ascii="Times New Roman" w:hAnsi="Times New Roman" w:cs="Times New Roman"/>
        </w:rPr>
        <w:t xml:space="preserve"> additional</w:t>
      </w:r>
      <w:r w:rsidRPr="00554655" w:rsidR="00907F5B">
        <w:rPr>
          <w:rFonts w:ascii="Times New Roman" w:hAnsi="Times New Roman" w:cs="Times New Roman"/>
        </w:rPr>
        <w:t xml:space="preserve"> information to assist in the identification of the proportion of people</w:t>
      </w:r>
      <w:r w:rsidRPr="00554655" w:rsidR="00163D0E">
        <w:rPr>
          <w:rFonts w:ascii="Times New Roman" w:hAnsi="Times New Roman" w:cs="Times New Roman"/>
        </w:rPr>
        <w:t xml:space="preserve"> </w:t>
      </w:r>
      <w:r w:rsidR="00CE0492">
        <w:rPr>
          <w:rFonts w:ascii="Times New Roman" w:hAnsi="Times New Roman" w:cs="Times New Roman"/>
        </w:rPr>
        <w:t xml:space="preserve">in the area </w:t>
      </w:r>
      <w:r w:rsidRPr="00554655" w:rsidR="00163D0E">
        <w:rPr>
          <w:rFonts w:ascii="Times New Roman" w:hAnsi="Times New Roman" w:cs="Times New Roman"/>
        </w:rPr>
        <w:t>expected to have</w:t>
      </w:r>
      <w:r w:rsidRPr="00554655" w:rsidR="00907F5B">
        <w:rPr>
          <w:rFonts w:ascii="Times New Roman" w:hAnsi="Times New Roman" w:cs="Times New Roman"/>
        </w:rPr>
        <w:t xml:space="preserve"> protected characteristics</w:t>
      </w:r>
      <w:r w:rsidRPr="00554655" w:rsidR="00163D0E">
        <w:rPr>
          <w:rFonts w:ascii="Times New Roman" w:hAnsi="Times New Roman" w:cs="Times New Roman"/>
        </w:rPr>
        <w:t xml:space="preserve">, which provided </w:t>
      </w:r>
      <w:r w:rsidR="00CE0492">
        <w:rPr>
          <w:rFonts w:ascii="Times New Roman" w:hAnsi="Times New Roman" w:cs="Times New Roman"/>
        </w:rPr>
        <w:t xml:space="preserve">useful </w:t>
      </w:r>
      <w:r w:rsidRPr="00554655" w:rsidR="00163D0E">
        <w:rPr>
          <w:rFonts w:ascii="Times New Roman" w:hAnsi="Times New Roman" w:cs="Times New Roman"/>
        </w:rPr>
        <w:t>contextual information to the Council as it moved through the CPO process</w:t>
      </w:r>
      <w:r>
        <w:rPr>
          <w:rFonts w:ascii="Times New Roman" w:hAnsi="Times New Roman" w:cs="Times New Roman"/>
        </w:rPr>
        <w:t xml:space="preserve">. It also </w:t>
      </w:r>
      <w:r w:rsidRPr="00554655" w:rsidR="00163D0E">
        <w:rPr>
          <w:rFonts w:ascii="Times New Roman" w:hAnsi="Times New Roman" w:cs="Times New Roman"/>
        </w:rPr>
        <w:t xml:space="preserve">sought </w:t>
      </w:r>
      <w:r w:rsidR="00EE01DE">
        <w:rPr>
          <w:rFonts w:ascii="Times New Roman" w:hAnsi="Times New Roman" w:cs="Times New Roman"/>
        </w:rPr>
        <w:t xml:space="preserve">to </w:t>
      </w:r>
      <w:r>
        <w:rPr>
          <w:rFonts w:ascii="Times New Roman" w:hAnsi="Times New Roman" w:cs="Times New Roman"/>
        </w:rPr>
        <w:t>identif</w:t>
      </w:r>
      <w:r w:rsidR="00EE01DE">
        <w:rPr>
          <w:rFonts w:ascii="Times New Roman" w:hAnsi="Times New Roman" w:cs="Times New Roman"/>
        </w:rPr>
        <w:t>y</w:t>
      </w:r>
      <w:r>
        <w:rPr>
          <w:rFonts w:ascii="Times New Roman" w:hAnsi="Times New Roman" w:cs="Times New Roman"/>
        </w:rPr>
        <w:t xml:space="preserve"> and </w:t>
      </w:r>
      <w:r w:rsidRPr="00554655" w:rsidR="00163D0E">
        <w:rPr>
          <w:rFonts w:ascii="Times New Roman" w:hAnsi="Times New Roman" w:cs="Times New Roman"/>
        </w:rPr>
        <w:t>addres</w:t>
      </w:r>
      <w:r w:rsidR="00EE01DE">
        <w:rPr>
          <w:rFonts w:ascii="Times New Roman" w:hAnsi="Times New Roman" w:cs="Times New Roman"/>
        </w:rPr>
        <w:t>s</w:t>
      </w:r>
      <w:r>
        <w:rPr>
          <w:rFonts w:ascii="Times New Roman" w:hAnsi="Times New Roman" w:cs="Times New Roman"/>
        </w:rPr>
        <w:t xml:space="preserve"> where those </w:t>
      </w:r>
      <w:r w:rsidRPr="00554655" w:rsidR="00163D0E">
        <w:rPr>
          <w:rFonts w:ascii="Times New Roman" w:hAnsi="Times New Roman" w:cs="Times New Roman"/>
        </w:rPr>
        <w:t>with protected characteristics might encounter</w:t>
      </w:r>
      <w:r>
        <w:rPr>
          <w:rFonts w:ascii="Times New Roman" w:hAnsi="Times New Roman" w:cs="Times New Roman"/>
        </w:rPr>
        <w:t xml:space="preserve"> additional challenges, and indicated where additional, targeted </w:t>
      </w:r>
      <w:r w:rsidR="00EE01DE">
        <w:rPr>
          <w:rFonts w:ascii="Times New Roman" w:hAnsi="Times New Roman" w:cs="Times New Roman"/>
        </w:rPr>
        <w:t xml:space="preserve">consideration and </w:t>
      </w:r>
      <w:r>
        <w:rPr>
          <w:rFonts w:ascii="Times New Roman" w:hAnsi="Times New Roman" w:cs="Times New Roman"/>
        </w:rPr>
        <w:t xml:space="preserve">support might be required. As set out above, these were matters that the Infusion team then sought to </w:t>
      </w:r>
      <w:r w:rsidR="00EE01DE">
        <w:rPr>
          <w:rFonts w:ascii="Times New Roman" w:hAnsi="Times New Roman" w:cs="Times New Roman"/>
        </w:rPr>
        <w:t xml:space="preserve">take forward and </w:t>
      </w:r>
      <w:r>
        <w:rPr>
          <w:rFonts w:ascii="Times New Roman" w:hAnsi="Times New Roman" w:cs="Times New Roman"/>
        </w:rPr>
        <w:t>address</w:t>
      </w:r>
      <w:r w:rsidR="0007427B">
        <w:rPr>
          <w:rFonts w:ascii="Times New Roman" w:hAnsi="Times New Roman" w:cs="Times New Roman"/>
        </w:rPr>
        <w:t xml:space="preserve"> on a continuous basis throughout the CPO process</w:t>
      </w:r>
      <w:r>
        <w:rPr>
          <w:rFonts w:ascii="Times New Roman" w:hAnsi="Times New Roman" w:cs="Times New Roman"/>
        </w:rPr>
        <w:t>.</w:t>
      </w:r>
      <w:r w:rsidRPr="00554655" w:rsidR="00907F5B">
        <w:rPr>
          <w:rFonts w:ascii="Times New Roman" w:hAnsi="Times New Roman" w:cs="Times New Roman"/>
        </w:rPr>
        <w:t xml:space="preserve"> </w:t>
      </w:r>
    </w:p>
    <w:p w:rsidRPr="00554655" w:rsidR="00554655" w:rsidP="00554655" w:rsidRDefault="00554655" w14:paraId="686E37E5" w14:textId="77777777">
      <w:pPr>
        <w:pStyle w:val="ListParagraph"/>
        <w:rPr>
          <w:rFonts w:ascii="Times New Roman" w:hAnsi="Times New Roman" w:cs="Times New Roman"/>
        </w:rPr>
      </w:pPr>
    </w:p>
    <w:p w:rsidR="00EE01DE" w:rsidP="00554655" w:rsidRDefault="00554655" w14:paraId="1127F946" w14:textId="72468B7B">
      <w:pPr>
        <w:pStyle w:val="ListParagraph"/>
        <w:numPr>
          <w:ilvl w:val="0"/>
          <w:numId w:val="1"/>
        </w:numPr>
        <w:spacing w:line="360" w:lineRule="auto"/>
        <w:rPr>
          <w:rFonts w:ascii="Times New Roman" w:hAnsi="Times New Roman" w:cs="Times New Roman"/>
        </w:rPr>
      </w:pPr>
      <w:r w:rsidRPr="00554655">
        <w:rPr>
          <w:rFonts w:ascii="Times New Roman" w:hAnsi="Times New Roman" w:cs="Times New Roman"/>
        </w:rPr>
        <w:t>The evidence set out above, and in the evidence of Ms. Aldridge (</w:t>
      </w:r>
      <w:proofErr w:type="gramStart"/>
      <w:r w:rsidRPr="00554655">
        <w:rPr>
          <w:rFonts w:ascii="Times New Roman" w:hAnsi="Times New Roman" w:cs="Times New Roman"/>
        </w:rPr>
        <w:t>and  Mr.</w:t>
      </w:r>
      <w:proofErr w:type="gramEnd"/>
      <w:r w:rsidRPr="00554655">
        <w:rPr>
          <w:rFonts w:ascii="Times New Roman" w:hAnsi="Times New Roman" w:cs="Times New Roman"/>
        </w:rPr>
        <w:t xml:space="preserve"> Yakub</w:t>
      </w:r>
      <w:r>
        <w:rPr>
          <w:rFonts w:ascii="Times New Roman" w:hAnsi="Times New Roman" w:cs="Times New Roman"/>
        </w:rPr>
        <w:t xml:space="preserve"> and Mr. Gerrard</w:t>
      </w:r>
      <w:r w:rsidRPr="00554655">
        <w:rPr>
          <w:rFonts w:ascii="Times New Roman" w:hAnsi="Times New Roman" w:cs="Times New Roman"/>
        </w:rPr>
        <w:t xml:space="preserve">), demonstrates very clearly that due regard has been had to the aims within the </w:t>
      </w:r>
      <w:r w:rsidR="00CE0492">
        <w:rPr>
          <w:rFonts w:ascii="Times New Roman" w:hAnsi="Times New Roman" w:cs="Times New Roman"/>
        </w:rPr>
        <w:t>E</w:t>
      </w:r>
      <w:r w:rsidRPr="00554655">
        <w:rPr>
          <w:rFonts w:ascii="Times New Roman" w:hAnsi="Times New Roman" w:cs="Times New Roman"/>
        </w:rPr>
        <w:t xml:space="preserve">quality </w:t>
      </w:r>
      <w:r w:rsidR="00CE0492">
        <w:rPr>
          <w:rFonts w:ascii="Times New Roman" w:hAnsi="Times New Roman" w:cs="Times New Roman"/>
        </w:rPr>
        <w:t>A</w:t>
      </w:r>
      <w:r w:rsidRPr="00554655">
        <w:rPr>
          <w:rFonts w:ascii="Times New Roman" w:hAnsi="Times New Roman" w:cs="Times New Roman"/>
        </w:rPr>
        <w:t>ct</w:t>
      </w:r>
      <w:r>
        <w:rPr>
          <w:rFonts w:ascii="Times New Roman" w:hAnsi="Times New Roman" w:cs="Times New Roman"/>
        </w:rPr>
        <w:t>. The Council</w:t>
      </w:r>
      <w:r w:rsidRPr="00554655">
        <w:rPr>
          <w:rFonts w:ascii="Times New Roman" w:hAnsi="Times New Roman" w:cs="Times New Roman"/>
        </w:rPr>
        <w:t xml:space="preserve"> has fulfilled the public sector equality duty in substance, with rigour, with an open mind, on a continuous basis, and this has been fully integrated with the discharge of the public functions of the authority through the entire CPO process, through the identification of issues relating to affected persons, and the targeted provision of support.</w:t>
      </w:r>
      <w:r>
        <w:rPr>
          <w:rFonts w:ascii="Times New Roman" w:hAnsi="Times New Roman" w:cs="Times New Roman"/>
        </w:rPr>
        <w:t xml:space="preserve"> </w:t>
      </w:r>
      <w:r w:rsidRPr="00554655" w:rsidR="00907F5B">
        <w:rPr>
          <w:rFonts w:ascii="Times New Roman" w:hAnsi="Times New Roman" w:cs="Times New Roman"/>
        </w:rPr>
        <w:t xml:space="preserve"> </w:t>
      </w:r>
    </w:p>
    <w:p w:rsidR="00EE01DE" w:rsidP="00EE01DE" w:rsidRDefault="00EE01DE" w14:paraId="24DF935F" w14:textId="77777777">
      <w:pPr>
        <w:pStyle w:val="ListParagraph"/>
        <w:spacing w:line="360" w:lineRule="auto"/>
        <w:rPr>
          <w:rFonts w:ascii="Times New Roman" w:hAnsi="Times New Roman" w:cs="Times New Roman"/>
        </w:rPr>
      </w:pPr>
    </w:p>
    <w:p w:rsidRPr="00554655" w:rsidR="00907F5B" w:rsidP="00554655" w:rsidRDefault="00163D0E" w14:paraId="5ED7BE8C" w14:textId="1925CFDF">
      <w:pPr>
        <w:pStyle w:val="ListParagraph"/>
        <w:numPr>
          <w:ilvl w:val="0"/>
          <w:numId w:val="1"/>
        </w:numPr>
        <w:spacing w:line="360" w:lineRule="auto"/>
        <w:rPr>
          <w:rFonts w:ascii="Times New Roman" w:hAnsi="Times New Roman" w:cs="Times New Roman"/>
        </w:rPr>
      </w:pPr>
      <w:r w:rsidRPr="00554655">
        <w:rPr>
          <w:rFonts w:ascii="Times New Roman" w:hAnsi="Times New Roman" w:cs="Times New Roman"/>
        </w:rPr>
        <w:t>Drawing all this together, the</w:t>
      </w:r>
      <w:r w:rsidRPr="00554655" w:rsidR="00907F5B">
        <w:rPr>
          <w:rFonts w:ascii="Times New Roman" w:hAnsi="Times New Roman" w:cs="Times New Roman"/>
        </w:rPr>
        <w:t xml:space="preserve"> Council’s tangible efforts and measures, and careful approach to affected persons, clearly evidences compliance with the PSED </w:t>
      </w:r>
      <w:r w:rsidRPr="00554655" w:rsidR="00907F5B">
        <w:rPr>
          <w:rFonts w:ascii="Times New Roman" w:hAnsi="Times New Roman" w:cs="Times New Roman"/>
        </w:rPr>
        <w:lastRenderedPageBreak/>
        <w:t>and accords with paragraphs 6.1 – 6.2 CPO guidance.</w:t>
      </w:r>
      <w:r w:rsidR="00D93D8C">
        <w:rPr>
          <w:rFonts w:ascii="Times New Roman" w:hAnsi="Times New Roman" w:cs="Times New Roman"/>
        </w:rPr>
        <w:t xml:space="preserve"> Further, the decision as to whether to confirm the Order is now with the Confirming Authority, and there is clearly sufficient in formation in the evidence provided to enable </w:t>
      </w:r>
      <w:r w:rsidR="0007427B">
        <w:rPr>
          <w:rFonts w:ascii="Times New Roman" w:hAnsi="Times New Roman" w:cs="Times New Roman"/>
        </w:rPr>
        <w:t xml:space="preserve">the Confirming Authority to satisfy itself as to </w:t>
      </w:r>
      <w:r w:rsidR="00D93D8C">
        <w:rPr>
          <w:rFonts w:ascii="Times New Roman" w:hAnsi="Times New Roman" w:cs="Times New Roman"/>
        </w:rPr>
        <w:t xml:space="preserve">compliance with the PSED at the confirmation stage. </w:t>
      </w:r>
    </w:p>
    <w:p w:rsidRPr="00163D0E" w:rsidR="00907F5B" w:rsidP="00907F5B" w:rsidRDefault="00907F5B" w14:paraId="53C486FA" w14:textId="77777777">
      <w:pPr>
        <w:pStyle w:val="ListParagraph"/>
        <w:rPr>
          <w:rFonts w:ascii="Times New Roman" w:hAnsi="Times New Roman" w:cs="Times New Roman"/>
        </w:rPr>
      </w:pPr>
    </w:p>
    <w:p w:rsidRPr="00163D0E" w:rsidR="00907F5B" w:rsidP="00907F5B" w:rsidRDefault="00907F5B" w14:paraId="136CE61C" w14:textId="3FFDD58A">
      <w:pPr>
        <w:spacing w:line="360" w:lineRule="auto"/>
        <w:rPr>
          <w:rFonts w:ascii="Times New Roman" w:hAnsi="Times New Roman" w:cs="Times New Roman"/>
          <w:u w:val="single"/>
        </w:rPr>
      </w:pPr>
      <w:r w:rsidRPr="00163D0E">
        <w:rPr>
          <w:rFonts w:ascii="Times New Roman" w:hAnsi="Times New Roman" w:cs="Times New Roman"/>
          <w:u w:val="single"/>
        </w:rPr>
        <w:t>Human Rights</w:t>
      </w:r>
    </w:p>
    <w:p w:rsidRPr="00163D0E" w:rsidR="00907F5B" w:rsidP="00907F5B" w:rsidRDefault="00907F5B" w14:paraId="15B5E976" w14:textId="77777777">
      <w:pPr>
        <w:pStyle w:val="ListParagraph"/>
        <w:rPr>
          <w:rFonts w:ascii="Times New Roman" w:hAnsi="Times New Roman" w:cs="Times New Roman"/>
        </w:rPr>
      </w:pPr>
    </w:p>
    <w:p w:rsidRPr="00163D0E" w:rsidR="00594F05" w:rsidP="00554655" w:rsidRDefault="00907F5B" w14:paraId="3FBB95C4" w14:textId="3573D869">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w:t>
      </w:r>
      <w:r w:rsidR="00216458">
        <w:rPr>
          <w:rFonts w:ascii="Times New Roman" w:hAnsi="Times New Roman" w:cs="Times New Roman"/>
        </w:rPr>
        <w:t>e</w:t>
      </w:r>
      <w:r w:rsidRPr="00163D0E">
        <w:rPr>
          <w:rFonts w:ascii="Times New Roman" w:hAnsi="Times New Roman" w:cs="Times New Roman"/>
        </w:rPr>
        <w:t xml:space="preserve"> Council has carefully considered the Art. 8 (where applicable) and Protocol 1 rights of those affected by the Order</w:t>
      </w:r>
      <w:r w:rsidRPr="00163D0E">
        <w:rPr>
          <w:rStyle w:val="FootnoteReference"/>
          <w:rFonts w:ascii="Times New Roman" w:hAnsi="Times New Roman" w:cs="Times New Roman"/>
        </w:rPr>
        <w:footnoteReference w:id="112"/>
      </w:r>
      <w:r w:rsidRPr="00163D0E">
        <w:rPr>
          <w:rFonts w:ascii="Times New Roman" w:hAnsi="Times New Roman" w:cs="Times New Roman"/>
        </w:rPr>
        <w:t>. However, these are not unqualified rights, and here, interference is in accordance with the law, is necessary to achieve the public interest objectives, is proportionate, and is justified</w:t>
      </w:r>
      <w:r w:rsidR="00216458">
        <w:rPr>
          <w:rFonts w:ascii="Times New Roman" w:hAnsi="Times New Roman" w:cs="Times New Roman"/>
        </w:rPr>
        <w:t xml:space="preserve">, </w:t>
      </w:r>
      <w:proofErr w:type="gramStart"/>
      <w:r w:rsidR="00216458">
        <w:rPr>
          <w:rFonts w:ascii="Times New Roman" w:hAnsi="Times New Roman" w:cs="Times New Roman"/>
        </w:rPr>
        <w:t>taking into account</w:t>
      </w:r>
      <w:proofErr w:type="gramEnd"/>
      <w:r w:rsidR="00216458">
        <w:rPr>
          <w:rFonts w:ascii="Times New Roman" w:hAnsi="Times New Roman" w:cs="Times New Roman"/>
        </w:rPr>
        <w:t xml:space="preserve"> the matters set out in evidence and above.</w:t>
      </w:r>
    </w:p>
    <w:p w:rsidRPr="00163D0E" w:rsidR="00907F5B" w:rsidP="00907F5B" w:rsidRDefault="00907F5B" w14:paraId="393BDB22" w14:textId="77777777">
      <w:pPr>
        <w:pStyle w:val="ListParagraph"/>
        <w:spacing w:line="360" w:lineRule="auto"/>
        <w:rPr>
          <w:rFonts w:ascii="Times New Roman" w:hAnsi="Times New Roman" w:cs="Times New Roman"/>
        </w:rPr>
      </w:pPr>
    </w:p>
    <w:p w:rsidRPr="00163D0E" w:rsidR="00907F5B" w:rsidP="00907F5B" w:rsidRDefault="00907F5B" w14:paraId="3718247A" w14:textId="38420930">
      <w:pPr>
        <w:spacing w:line="360" w:lineRule="auto"/>
        <w:rPr>
          <w:rFonts w:ascii="Times New Roman" w:hAnsi="Times New Roman" w:cs="Times New Roman"/>
          <w:u w:val="single"/>
        </w:rPr>
      </w:pPr>
      <w:r w:rsidRPr="00163D0E">
        <w:rPr>
          <w:rFonts w:ascii="Times New Roman" w:hAnsi="Times New Roman" w:cs="Times New Roman"/>
          <w:u w:val="single"/>
        </w:rPr>
        <w:t>Conclusion</w:t>
      </w:r>
    </w:p>
    <w:p w:rsidRPr="00163D0E" w:rsidR="00907F5B" w:rsidP="00554655" w:rsidRDefault="00907F5B" w14:paraId="4ECFC038" w14:textId="0334C7E0">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 xml:space="preserve">For all those reasons, it is the Council’s case that </w:t>
      </w:r>
      <w:proofErr w:type="gramStart"/>
      <w:r w:rsidRPr="00163D0E">
        <w:rPr>
          <w:rFonts w:ascii="Times New Roman" w:hAnsi="Times New Roman" w:cs="Times New Roman"/>
        </w:rPr>
        <w:t>it is clear that the</w:t>
      </w:r>
      <w:proofErr w:type="gramEnd"/>
      <w:r w:rsidRPr="00163D0E">
        <w:rPr>
          <w:rFonts w:ascii="Times New Roman" w:hAnsi="Times New Roman" w:cs="Times New Roman"/>
        </w:rPr>
        <w:t xml:space="preserve"> Multiversity scheme will contribute to achieving the promotion and improvement of the economic, social and environmental well – being of the area, and is critical to the regeneration of the town. The Council has carefully </w:t>
      </w:r>
      <w:proofErr w:type="gramStart"/>
      <w:r w:rsidRPr="00163D0E">
        <w:rPr>
          <w:rFonts w:ascii="Times New Roman" w:hAnsi="Times New Roman" w:cs="Times New Roman"/>
        </w:rPr>
        <w:t>taken into account</w:t>
      </w:r>
      <w:proofErr w:type="gramEnd"/>
      <w:r w:rsidRPr="00163D0E">
        <w:rPr>
          <w:rFonts w:ascii="Times New Roman" w:hAnsi="Times New Roman" w:cs="Times New Roman"/>
        </w:rPr>
        <w:t xml:space="preserve"> the impact on those affected</w:t>
      </w:r>
      <w:r w:rsidR="00A71E0C">
        <w:rPr>
          <w:rFonts w:ascii="Times New Roman" w:hAnsi="Times New Roman" w:cs="Times New Roman"/>
        </w:rPr>
        <w:t xml:space="preserve"> and sought to mitigate this wherever possible</w:t>
      </w:r>
      <w:r w:rsidRPr="00163D0E">
        <w:rPr>
          <w:rFonts w:ascii="Times New Roman" w:hAnsi="Times New Roman" w:cs="Times New Roman"/>
        </w:rPr>
        <w:t>. However, Compulsory Purchase is necessary and proportionate as a measure of last resort to assemble the land required to deliver this vital scheme.</w:t>
      </w:r>
    </w:p>
    <w:p w:rsidRPr="00163D0E" w:rsidR="00907F5B" w:rsidP="00907F5B" w:rsidRDefault="00907F5B" w14:paraId="1D454D11" w14:textId="77777777">
      <w:pPr>
        <w:pStyle w:val="ListParagraph"/>
        <w:spacing w:line="360" w:lineRule="auto"/>
        <w:rPr>
          <w:rFonts w:ascii="Times New Roman" w:hAnsi="Times New Roman" w:cs="Times New Roman"/>
        </w:rPr>
      </w:pPr>
    </w:p>
    <w:p w:rsidRPr="00163D0E" w:rsidR="00907F5B" w:rsidP="00554655" w:rsidRDefault="00907F5B" w14:paraId="23F243CF" w14:textId="5DF283F4">
      <w:pPr>
        <w:pStyle w:val="ListParagraph"/>
        <w:numPr>
          <w:ilvl w:val="0"/>
          <w:numId w:val="1"/>
        </w:numPr>
        <w:spacing w:line="360" w:lineRule="auto"/>
        <w:rPr>
          <w:rFonts w:ascii="Times New Roman" w:hAnsi="Times New Roman" w:cs="Times New Roman"/>
        </w:rPr>
      </w:pPr>
      <w:r w:rsidRPr="00163D0E">
        <w:rPr>
          <w:rFonts w:ascii="Times New Roman" w:hAnsi="Times New Roman" w:cs="Times New Roman"/>
        </w:rPr>
        <w:t>There is a compelling case in the public interest for the confirmation of the Order, and the Acquiring Authority respectfully request that the CPO is confirmed accordingly.</w:t>
      </w:r>
    </w:p>
    <w:p w:rsidRPr="00163D0E" w:rsidR="00907F5B" w:rsidP="00907F5B" w:rsidRDefault="00907F5B" w14:paraId="4A839492" w14:textId="5867567F">
      <w:pPr>
        <w:spacing w:line="360" w:lineRule="auto"/>
        <w:rPr>
          <w:rFonts w:ascii="Times New Roman" w:hAnsi="Times New Roman" w:cs="Times New Roman"/>
          <w:b/>
          <w:bCs/>
          <w:i/>
          <w:iCs/>
        </w:rPr>
      </w:pPr>
      <w:r w:rsidRPr="00163D0E">
        <w:rPr>
          <w:rFonts w:ascii="Times New Roman" w:hAnsi="Times New Roman" w:cs="Times New Roman"/>
        </w:rPr>
        <w:t>5</w:t>
      </w:r>
      <w:r w:rsidRPr="00163D0E">
        <w:rPr>
          <w:rFonts w:ascii="Times New Roman" w:hAnsi="Times New Roman" w:cs="Times New Roman"/>
          <w:vertAlign w:val="superscript"/>
        </w:rPr>
        <w:t>th</w:t>
      </w:r>
      <w:r w:rsidRPr="00163D0E">
        <w:rPr>
          <w:rFonts w:ascii="Times New Roman" w:hAnsi="Times New Roman" w:cs="Times New Roman"/>
        </w:rPr>
        <w:t xml:space="preserve"> December 2024</w:t>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b/>
          <w:bCs/>
          <w:i/>
          <w:iCs/>
        </w:rPr>
        <w:t>Sarah Reid KC</w:t>
      </w:r>
    </w:p>
    <w:p w:rsidRPr="00163D0E" w:rsidR="00907F5B" w:rsidP="00907F5B" w:rsidRDefault="00907F5B" w14:paraId="2BC1FFC0" w14:textId="7DB477CB">
      <w:pPr>
        <w:spacing w:line="360" w:lineRule="auto"/>
        <w:rPr>
          <w:rFonts w:ascii="Times New Roman" w:hAnsi="Times New Roman" w:cs="Times New Roman"/>
        </w:rPr>
      </w:pPr>
      <w:r w:rsidRPr="00163D0E">
        <w:rPr>
          <w:rFonts w:ascii="Times New Roman" w:hAnsi="Times New Roman" w:cs="Times New Roman"/>
          <w:b/>
          <w:bCs/>
          <w:i/>
          <w:iCs/>
        </w:rPr>
        <w:tab/>
      </w:r>
      <w:r w:rsidRPr="00163D0E">
        <w:rPr>
          <w:rFonts w:ascii="Times New Roman" w:hAnsi="Times New Roman" w:cs="Times New Roman"/>
          <w:b/>
          <w:bCs/>
          <w:i/>
          <w:iCs/>
        </w:rPr>
        <w:tab/>
      </w:r>
      <w:r w:rsidRPr="00163D0E">
        <w:rPr>
          <w:rFonts w:ascii="Times New Roman" w:hAnsi="Times New Roman" w:cs="Times New Roman"/>
          <w:b/>
          <w:bCs/>
          <w:i/>
          <w:iCs/>
        </w:rPr>
        <w:tab/>
      </w:r>
      <w:r w:rsidRPr="00163D0E">
        <w:rPr>
          <w:rFonts w:ascii="Times New Roman" w:hAnsi="Times New Roman" w:cs="Times New Roman"/>
          <w:b/>
          <w:bCs/>
          <w:i/>
          <w:iCs/>
        </w:rPr>
        <w:tab/>
      </w:r>
      <w:r w:rsidRPr="00163D0E">
        <w:rPr>
          <w:rFonts w:ascii="Times New Roman" w:hAnsi="Times New Roman" w:cs="Times New Roman"/>
          <w:b/>
          <w:bCs/>
          <w:i/>
          <w:iCs/>
        </w:rPr>
        <w:tab/>
      </w:r>
      <w:r w:rsidRPr="00163D0E">
        <w:rPr>
          <w:rFonts w:ascii="Times New Roman" w:hAnsi="Times New Roman" w:cs="Times New Roman"/>
          <w:b/>
          <w:bCs/>
          <w:i/>
          <w:iCs/>
        </w:rPr>
        <w:tab/>
      </w:r>
      <w:r w:rsidRPr="00163D0E">
        <w:rPr>
          <w:rFonts w:ascii="Times New Roman" w:hAnsi="Times New Roman" w:cs="Times New Roman"/>
          <w:b/>
          <w:bCs/>
          <w:i/>
          <w:iCs/>
        </w:rPr>
        <w:tab/>
      </w:r>
      <w:r w:rsidRPr="00163D0E">
        <w:rPr>
          <w:rFonts w:ascii="Times New Roman" w:hAnsi="Times New Roman" w:cs="Times New Roman"/>
          <w:b/>
          <w:bCs/>
          <w:i/>
          <w:iCs/>
        </w:rPr>
        <w:tab/>
      </w:r>
      <w:r w:rsidRPr="00163D0E">
        <w:rPr>
          <w:rFonts w:ascii="Times New Roman" w:hAnsi="Times New Roman" w:cs="Times New Roman"/>
        </w:rPr>
        <w:t>Kings Chambers</w:t>
      </w:r>
    </w:p>
    <w:p w:rsidRPr="00CE0492" w:rsidR="00FC2CC9" w:rsidP="00CE0492" w:rsidRDefault="00907F5B" w14:paraId="2E94C525" w14:textId="727DAC52">
      <w:pPr>
        <w:spacing w:line="360" w:lineRule="auto"/>
        <w:rPr>
          <w:rFonts w:ascii="Times New Roman" w:hAnsi="Times New Roman" w:cs="Times New Roman"/>
        </w:rPr>
      </w:pP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r>
      <w:r w:rsidRPr="00163D0E">
        <w:rPr>
          <w:rFonts w:ascii="Times New Roman" w:hAnsi="Times New Roman" w:cs="Times New Roman"/>
        </w:rPr>
        <w:tab/>
        <w:t xml:space="preserve">Manchester, Leeds, </w:t>
      </w:r>
      <w:r w:rsidRPr="00163D0E" w:rsidR="00216458">
        <w:rPr>
          <w:rFonts w:ascii="Times New Roman" w:hAnsi="Times New Roman" w:cs="Times New Roman"/>
        </w:rPr>
        <w:t>Birming</w:t>
      </w:r>
      <w:r w:rsidR="0007427B">
        <w:rPr>
          <w:rFonts w:ascii="Times New Roman" w:hAnsi="Times New Roman" w:cs="Times New Roman"/>
        </w:rPr>
        <w:t>ham</w:t>
      </w:r>
    </w:p>
    <w:sectPr w:rsidRPr="00CE0492" w:rsidR="00FC2CC9">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3F395" w14:textId="77777777" w:rsidR="00A378DD" w:rsidRDefault="00A378DD" w:rsidP="00BC3A67">
      <w:pPr>
        <w:spacing w:after="0" w:line="240" w:lineRule="auto"/>
      </w:pPr>
      <w:r>
        <w:separator/>
      </w:r>
    </w:p>
  </w:endnote>
  <w:endnote w:type="continuationSeparator" w:id="0">
    <w:p w14:paraId="775D3DC4" w14:textId="77777777" w:rsidR="00A378DD" w:rsidRDefault="00A378DD" w:rsidP="00BC3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28230"/>
      <w:docPartObj>
        <w:docPartGallery w:val="Page Numbers (Bottom of Page)"/>
        <w:docPartUnique/>
      </w:docPartObj>
    </w:sdtPr>
    <w:sdtContent>
      <w:p w14:paraId="0979C896" w14:textId="43827F05" w:rsidR="00036E1F" w:rsidRDefault="00036E1F" w:rsidP="007250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E28E4C" w14:textId="77777777" w:rsidR="00036E1F" w:rsidRDefault="00036E1F" w:rsidP="00036E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44966171"/>
      <w:docPartObj>
        <w:docPartGallery w:val="Page Numbers (Bottom of Page)"/>
        <w:docPartUnique/>
      </w:docPartObj>
    </w:sdtPr>
    <w:sdtContent>
      <w:p w14:paraId="5BF54031" w14:textId="0E4728FF" w:rsidR="00036E1F" w:rsidRDefault="00036E1F" w:rsidP="007250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7B97">
          <w:rPr>
            <w:rStyle w:val="PageNumber"/>
            <w:noProof/>
          </w:rPr>
          <w:t>26</w:t>
        </w:r>
        <w:r>
          <w:rPr>
            <w:rStyle w:val="PageNumber"/>
          </w:rPr>
          <w:fldChar w:fldCharType="end"/>
        </w:r>
      </w:p>
    </w:sdtContent>
  </w:sdt>
  <w:p w14:paraId="5C845672" w14:textId="77777777" w:rsidR="00036E1F" w:rsidRDefault="00036E1F" w:rsidP="00036E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8434F" w14:textId="77777777" w:rsidR="00A378DD" w:rsidRDefault="00A378DD" w:rsidP="00BC3A67">
      <w:pPr>
        <w:spacing w:after="0" w:line="240" w:lineRule="auto"/>
      </w:pPr>
      <w:r>
        <w:separator/>
      </w:r>
    </w:p>
  </w:footnote>
  <w:footnote w:type="continuationSeparator" w:id="0">
    <w:p w14:paraId="4556DAFD" w14:textId="77777777" w:rsidR="00A378DD" w:rsidRDefault="00A378DD" w:rsidP="00BC3A67">
      <w:pPr>
        <w:spacing w:after="0" w:line="240" w:lineRule="auto"/>
      </w:pPr>
      <w:r>
        <w:continuationSeparator/>
      </w:r>
    </w:p>
  </w:footnote>
  <w:footnote w:id="1">
    <w:p w14:paraId="53B5C2CC" w14:textId="0EA2234C" w:rsidR="00BC3A67" w:rsidRDefault="00BC3A67">
      <w:pPr>
        <w:pStyle w:val="FootnoteText"/>
      </w:pPr>
      <w:r>
        <w:rPr>
          <w:rStyle w:val="FootnoteReference"/>
        </w:rPr>
        <w:footnoteRef/>
      </w:r>
      <w:r>
        <w:t xml:space="preserve"> Bullet point (2) paragraph 109.1 of the Guidance</w:t>
      </w:r>
    </w:p>
  </w:footnote>
  <w:footnote w:id="2">
    <w:p w14:paraId="7E0A387B" w14:textId="692BADE1" w:rsidR="00CE11AF" w:rsidRDefault="00CE11AF">
      <w:pPr>
        <w:pStyle w:val="FootnoteText"/>
      </w:pPr>
      <w:r>
        <w:rPr>
          <w:rStyle w:val="FootnoteReference"/>
        </w:rPr>
        <w:footnoteRef/>
      </w:r>
      <w:r>
        <w:t xml:space="preserve"> </w:t>
      </w:r>
      <w:proofErr w:type="spellStart"/>
      <w:r>
        <w:t>Xic</w:t>
      </w:r>
      <w:proofErr w:type="spellEnd"/>
      <w:r>
        <w:t xml:space="preserve"> </w:t>
      </w:r>
    </w:p>
  </w:footnote>
  <w:footnote w:id="3">
    <w:p w14:paraId="0151E119" w14:textId="77777777" w:rsidR="00CE11AF" w:rsidRDefault="00CE11AF" w:rsidP="00CE11AF">
      <w:pPr>
        <w:pStyle w:val="FootnoteText"/>
      </w:pPr>
      <w:r>
        <w:rPr>
          <w:rStyle w:val="FootnoteReference"/>
        </w:rPr>
        <w:footnoteRef/>
      </w:r>
      <w:r>
        <w:t xml:space="preserve"> Evidence Nick Gerrard 2.1 – 2.9</w:t>
      </w:r>
    </w:p>
  </w:footnote>
  <w:footnote w:id="4">
    <w:p w14:paraId="7DB4A2F5" w14:textId="562AB450" w:rsidR="00CE11AF" w:rsidRDefault="00CE11AF">
      <w:pPr>
        <w:pStyle w:val="FootnoteText"/>
      </w:pPr>
      <w:r>
        <w:rPr>
          <w:rStyle w:val="FootnoteReference"/>
        </w:rPr>
        <w:footnoteRef/>
      </w:r>
      <w:r>
        <w:t xml:space="preserve"> NG </w:t>
      </w:r>
      <w:proofErr w:type="spellStart"/>
      <w:r>
        <w:t>xic</w:t>
      </w:r>
      <w:proofErr w:type="spellEnd"/>
    </w:p>
  </w:footnote>
  <w:footnote w:id="5">
    <w:p w14:paraId="3D353687" w14:textId="77777777" w:rsidR="00CE11AF" w:rsidRDefault="00CE11AF" w:rsidP="00CE11AF">
      <w:pPr>
        <w:pStyle w:val="FootnoteText"/>
      </w:pPr>
      <w:r>
        <w:rPr>
          <w:rStyle w:val="FootnoteReference"/>
        </w:rPr>
        <w:footnoteRef/>
      </w:r>
      <w:r>
        <w:t xml:space="preserve"> Evidence Alistair Mulvey paragraph 2.33</w:t>
      </w:r>
    </w:p>
  </w:footnote>
  <w:footnote w:id="6">
    <w:p w14:paraId="0C7DCEF6" w14:textId="7281D7F2" w:rsidR="00CE11AF" w:rsidRDefault="00CE11AF">
      <w:pPr>
        <w:pStyle w:val="FootnoteText"/>
      </w:pPr>
      <w:r>
        <w:rPr>
          <w:rStyle w:val="FootnoteReference"/>
        </w:rPr>
        <w:footnoteRef/>
      </w:r>
      <w:r>
        <w:t xml:space="preserve"> Appendix 1 NG is the 2020 update</w:t>
      </w:r>
    </w:p>
  </w:footnote>
  <w:footnote w:id="7">
    <w:p w14:paraId="7A21B860" w14:textId="15454411" w:rsidR="00CE11AF" w:rsidRDefault="00CE11AF">
      <w:pPr>
        <w:pStyle w:val="FootnoteText"/>
      </w:pPr>
      <w:r>
        <w:rPr>
          <w:rStyle w:val="FootnoteReference"/>
        </w:rPr>
        <w:footnoteRef/>
      </w:r>
      <w:r>
        <w:t xml:space="preserve"> NG </w:t>
      </w:r>
      <w:proofErr w:type="spellStart"/>
      <w:r>
        <w:t>xic</w:t>
      </w:r>
      <w:proofErr w:type="spellEnd"/>
    </w:p>
  </w:footnote>
  <w:footnote w:id="8">
    <w:p w14:paraId="0E926E1F" w14:textId="723589AC" w:rsidR="00CE11AF" w:rsidRDefault="00CE11AF">
      <w:pPr>
        <w:pStyle w:val="FootnoteText"/>
      </w:pPr>
      <w:r>
        <w:rPr>
          <w:rStyle w:val="FootnoteReference"/>
        </w:rPr>
        <w:footnoteRef/>
      </w:r>
      <w:r>
        <w:t xml:space="preserve"> Page 8</w:t>
      </w:r>
    </w:p>
  </w:footnote>
  <w:footnote w:id="9">
    <w:p w14:paraId="2DAFC109" w14:textId="29304022" w:rsidR="00CE11AF" w:rsidRDefault="00CE11AF">
      <w:pPr>
        <w:pStyle w:val="FootnoteText"/>
      </w:pPr>
      <w:r>
        <w:rPr>
          <w:rStyle w:val="FootnoteReference"/>
        </w:rPr>
        <w:footnoteRef/>
      </w:r>
      <w:r>
        <w:t xml:space="preserve"> Page 9</w:t>
      </w:r>
    </w:p>
  </w:footnote>
  <w:footnote w:id="10">
    <w:p w14:paraId="61FD28B6" w14:textId="3CFE50C3" w:rsidR="00CE11AF" w:rsidRDefault="00CE11AF">
      <w:pPr>
        <w:pStyle w:val="FootnoteText"/>
      </w:pPr>
      <w:r>
        <w:rPr>
          <w:rStyle w:val="FootnoteReference"/>
        </w:rPr>
        <w:footnoteRef/>
      </w:r>
      <w:r>
        <w:t xml:space="preserve"> Page 8 – 10 NG PE</w:t>
      </w:r>
    </w:p>
  </w:footnote>
  <w:footnote w:id="11">
    <w:p w14:paraId="335BBDE2" w14:textId="6C552E0A" w:rsidR="00CE11AF" w:rsidRDefault="00CE11AF">
      <w:pPr>
        <w:pStyle w:val="FootnoteText"/>
      </w:pPr>
      <w:r>
        <w:rPr>
          <w:rStyle w:val="FootnoteReference"/>
        </w:rPr>
        <w:footnoteRef/>
      </w:r>
      <w:r>
        <w:t xml:space="preserve"> Page 50 Appendix 2a</w:t>
      </w:r>
    </w:p>
  </w:footnote>
  <w:footnote w:id="12">
    <w:p w14:paraId="3BFEDAAD" w14:textId="5F19AEE3" w:rsidR="00CE11AF" w:rsidRDefault="00CE11AF" w:rsidP="00CE11AF">
      <w:pPr>
        <w:pStyle w:val="FootnoteText"/>
      </w:pPr>
      <w:r>
        <w:rPr>
          <w:rStyle w:val="FootnoteReference"/>
        </w:rPr>
        <w:footnoteRef/>
      </w:r>
      <w:r>
        <w:t xml:space="preserve"> See Page 66 – 67 Appendix 2a</w:t>
      </w:r>
    </w:p>
  </w:footnote>
  <w:footnote w:id="13">
    <w:p w14:paraId="2F2CE7D3" w14:textId="16C430DD" w:rsidR="00CE11AF" w:rsidRDefault="00CE11AF">
      <w:pPr>
        <w:pStyle w:val="FootnoteText"/>
      </w:pPr>
      <w:r>
        <w:rPr>
          <w:rStyle w:val="FootnoteReference"/>
        </w:rPr>
        <w:footnoteRef/>
      </w:r>
      <w:r>
        <w:t xml:space="preserve"> NG </w:t>
      </w:r>
      <w:proofErr w:type="spellStart"/>
      <w:r>
        <w:t>xic</w:t>
      </w:r>
      <w:proofErr w:type="spellEnd"/>
      <w:r>
        <w:t xml:space="preserve"> </w:t>
      </w:r>
      <w:proofErr w:type="gramStart"/>
      <w:r>
        <w:t>and  paragraphs</w:t>
      </w:r>
      <w:proofErr w:type="gramEnd"/>
      <w:r>
        <w:t xml:space="preserve"> 5.1 – 5.11 PE</w:t>
      </w:r>
    </w:p>
  </w:footnote>
  <w:footnote w:id="14">
    <w:p w14:paraId="494BADC4" w14:textId="36BF07A5" w:rsidR="00DD7946" w:rsidRDefault="00DD7946">
      <w:pPr>
        <w:pStyle w:val="FootnoteText"/>
      </w:pPr>
      <w:r>
        <w:rPr>
          <w:rStyle w:val="FootnoteReference"/>
        </w:rPr>
        <w:footnoteRef/>
      </w:r>
      <w:r>
        <w:t xml:space="preserve"> CD G2 and Appendix 13</w:t>
      </w:r>
    </w:p>
  </w:footnote>
  <w:footnote w:id="15">
    <w:p w14:paraId="2FF257FA" w14:textId="366921DE" w:rsidR="00DD7946" w:rsidRDefault="00DD7946">
      <w:pPr>
        <w:pStyle w:val="FootnoteText"/>
      </w:pPr>
      <w:r>
        <w:rPr>
          <w:rStyle w:val="FootnoteReference"/>
        </w:rPr>
        <w:footnoteRef/>
      </w:r>
      <w:r>
        <w:t xml:space="preserve"> </w:t>
      </w:r>
      <w:r w:rsidR="000B4ECD">
        <w:t>Appendix</w:t>
      </w:r>
      <w:r>
        <w:t xml:space="preserve"> 17</w:t>
      </w:r>
    </w:p>
  </w:footnote>
  <w:footnote w:id="16">
    <w:p w14:paraId="39E0F9C3" w14:textId="10ACBC20" w:rsidR="00DD7946" w:rsidRDefault="00DD7946">
      <w:pPr>
        <w:pStyle w:val="FootnoteText"/>
      </w:pPr>
      <w:r>
        <w:rPr>
          <w:rStyle w:val="FootnoteReference"/>
        </w:rPr>
        <w:footnoteRef/>
      </w:r>
      <w:r>
        <w:t xml:space="preserve"> See Appendix 18 and MOU at Appendix 19 NG</w:t>
      </w:r>
    </w:p>
  </w:footnote>
  <w:footnote w:id="17">
    <w:p w14:paraId="1002FA9C" w14:textId="11765021" w:rsidR="00DD7946" w:rsidRDefault="00DD7946">
      <w:pPr>
        <w:pStyle w:val="FootnoteText"/>
      </w:pPr>
      <w:r>
        <w:rPr>
          <w:rStyle w:val="FootnoteReference"/>
        </w:rPr>
        <w:footnoteRef/>
      </w:r>
      <w:r>
        <w:t xml:space="preserve"> See 15.13 – 16 PE NG</w:t>
      </w:r>
    </w:p>
  </w:footnote>
  <w:footnote w:id="18">
    <w:p w14:paraId="29985C1F" w14:textId="3E15F84A" w:rsidR="00DD7946" w:rsidRDefault="00DD7946">
      <w:pPr>
        <w:pStyle w:val="FootnoteText"/>
      </w:pPr>
      <w:r>
        <w:rPr>
          <w:rStyle w:val="FootnoteReference"/>
        </w:rPr>
        <w:footnoteRef/>
      </w:r>
      <w:r>
        <w:t xml:space="preserve"> Appendix 22</w:t>
      </w:r>
      <w:r w:rsidR="000B4ECD">
        <w:t xml:space="preserve"> NG</w:t>
      </w:r>
    </w:p>
  </w:footnote>
  <w:footnote w:id="19">
    <w:p w14:paraId="1CC20F9B" w14:textId="7CDA55EE" w:rsidR="00DD7946" w:rsidRDefault="00DD7946">
      <w:pPr>
        <w:pStyle w:val="FootnoteText"/>
      </w:pPr>
      <w:r>
        <w:rPr>
          <w:rStyle w:val="FootnoteReference"/>
        </w:rPr>
        <w:footnoteRef/>
      </w:r>
      <w:r>
        <w:t xml:space="preserve"> NG </w:t>
      </w:r>
      <w:proofErr w:type="spellStart"/>
      <w:r>
        <w:t>xic</w:t>
      </w:r>
      <w:proofErr w:type="spellEnd"/>
    </w:p>
  </w:footnote>
  <w:footnote w:id="20">
    <w:p w14:paraId="0ACF094A" w14:textId="2ECC7848" w:rsidR="00DD7946" w:rsidRDefault="00DD7946">
      <w:pPr>
        <w:pStyle w:val="FootnoteText"/>
      </w:pPr>
      <w:r>
        <w:rPr>
          <w:rStyle w:val="FootnoteReference"/>
        </w:rPr>
        <w:footnoteRef/>
      </w:r>
      <w:r>
        <w:t xml:space="preserve"> Appendix 8 NG</w:t>
      </w:r>
    </w:p>
  </w:footnote>
  <w:footnote w:id="21">
    <w:p w14:paraId="2D632B6D" w14:textId="4FF22548" w:rsidR="00DD7946" w:rsidRDefault="00DD7946">
      <w:pPr>
        <w:pStyle w:val="FootnoteText"/>
      </w:pPr>
      <w:r>
        <w:rPr>
          <w:rStyle w:val="FootnoteReference"/>
        </w:rPr>
        <w:footnoteRef/>
      </w:r>
      <w:r>
        <w:t xml:space="preserve"> NG </w:t>
      </w:r>
      <w:proofErr w:type="spellStart"/>
      <w:r>
        <w:t>xic</w:t>
      </w:r>
      <w:proofErr w:type="spellEnd"/>
    </w:p>
  </w:footnote>
  <w:footnote w:id="22">
    <w:p w14:paraId="2835A237" w14:textId="300A1BEB" w:rsidR="00446961" w:rsidRDefault="00446961">
      <w:pPr>
        <w:pStyle w:val="FootnoteText"/>
      </w:pPr>
      <w:r>
        <w:rPr>
          <w:rStyle w:val="FootnoteReference"/>
        </w:rPr>
        <w:footnoteRef/>
      </w:r>
      <w:r>
        <w:t xml:space="preserve"> See photos p19 – 22 PE NG, and </w:t>
      </w:r>
      <w:proofErr w:type="gramStart"/>
      <w:r>
        <w:t>3 minute</w:t>
      </w:r>
      <w:proofErr w:type="gramEnd"/>
      <w:r>
        <w:t xml:space="preserve"> recording, which gives an excellent overview of the projects and their inter relationships – Appendix 9 NG</w:t>
      </w:r>
    </w:p>
  </w:footnote>
  <w:footnote w:id="23">
    <w:p w14:paraId="01F6984C" w14:textId="77777777" w:rsidR="00C3710A" w:rsidRDefault="00C3710A" w:rsidP="00C3710A">
      <w:pPr>
        <w:pStyle w:val="FootnoteText"/>
      </w:pPr>
      <w:r>
        <w:rPr>
          <w:rStyle w:val="FootnoteReference"/>
        </w:rPr>
        <w:footnoteRef/>
      </w:r>
      <w:r>
        <w:t xml:space="preserve"> Not in employment, education or training</w:t>
      </w:r>
    </w:p>
  </w:footnote>
  <w:footnote w:id="24">
    <w:p w14:paraId="6C3D3D8D" w14:textId="77777777" w:rsidR="00C3710A" w:rsidRDefault="00C3710A" w:rsidP="00C3710A">
      <w:pPr>
        <w:pStyle w:val="FootnoteText"/>
      </w:pPr>
      <w:r>
        <w:rPr>
          <w:rStyle w:val="FootnoteReference"/>
        </w:rPr>
        <w:footnoteRef/>
      </w:r>
      <w:r>
        <w:t xml:space="preserve"> AM PE2.33</w:t>
      </w:r>
    </w:p>
  </w:footnote>
  <w:footnote w:id="25">
    <w:p w14:paraId="1DFC26D3" w14:textId="1CF8C91C" w:rsidR="00C3710A" w:rsidRDefault="00C3710A">
      <w:pPr>
        <w:pStyle w:val="FootnoteText"/>
      </w:pPr>
      <w:r>
        <w:rPr>
          <w:rStyle w:val="FootnoteReference"/>
        </w:rPr>
        <w:footnoteRef/>
      </w:r>
      <w:r>
        <w:t xml:space="preserve"> See example photos p18 – 19 PE</w:t>
      </w:r>
    </w:p>
  </w:footnote>
  <w:footnote w:id="26">
    <w:p w14:paraId="145D5885" w14:textId="09A64E42" w:rsidR="005812AB" w:rsidRDefault="005812AB">
      <w:pPr>
        <w:pStyle w:val="FootnoteText"/>
      </w:pPr>
      <w:r>
        <w:rPr>
          <w:rStyle w:val="FootnoteReference"/>
        </w:rPr>
        <w:footnoteRef/>
      </w:r>
      <w:r>
        <w:t xml:space="preserve"> Demolition costs of over a million pounds, and rebuilt </w:t>
      </w:r>
      <w:proofErr w:type="gramStart"/>
      <w:r>
        <w:t>in excess of</w:t>
      </w:r>
      <w:proofErr w:type="gramEnd"/>
      <w:r>
        <w:t xml:space="preserve"> £70m</w:t>
      </w:r>
    </w:p>
  </w:footnote>
  <w:footnote w:id="27">
    <w:p w14:paraId="71C50426" w14:textId="427566D8" w:rsidR="005812AB" w:rsidRDefault="005812AB">
      <w:pPr>
        <w:pStyle w:val="FootnoteText"/>
      </w:pPr>
      <w:r>
        <w:rPr>
          <w:rStyle w:val="FootnoteReference"/>
        </w:rPr>
        <w:footnoteRef/>
      </w:r>
      <w:r>
        <w:t xml:space="preserve"> Suspending HE provision for this period would also cost the College c.£10m </w:t>
      </w:r>
      <w:proofErr w:type="gramStart"/>
      <w:r>
        <w:t>pa, and</w:t>
      </w:r>
      <w:proofErr w:type="gramEnd"/>
      <w:r>
        <w:t xml:space="preserve"> would undermine the financial stability of the College.</w:t>
      </w:r>
    </w:p>
  </w:footnote>
  <w:footnote w:id="28">
    <w:p w14:paraId="195FDF3C" w14:textId="2EF0DB30" w:rsidR="00A9348F" w:rsidRDefault="00A9348F">
      <w:pPr>
        <w:pStyle w:val="FootnoteText"/>
      </w:pPr>
      <w:r>
        <w:rPr>
          <w:rStyle w:val="FootnoteReference"/>
        </w:rPr>
        <w:footnoteRef/>
      </w:r>
      <w:r>
        <w:t xml:space="preserve"> </w:t>
      </w:r>
      <w:proofErr w:type="spellStart"/>
      <w:r>
        <w:t>xic</w:t>
      </w:r>
      <w:proofErr w:type="spellEnd"/>
    </w:p>
  </w:footnote>
  <w:footnote w:id="29">
    <w:p w14:paraId="1977C2E0" w14:textId="0CF9157F" w:rsidR="00A9348F" w:rsidRDefault="00A9348F">
      <w:pPr>
        <w:pStyle w:val="FootnoteText"/>
      </w:pPr>
      <w:r>
        <w:rPr>
          <w:rStyle w:val="FootnoteReference"/>
        </w:rPr>
        <w:footnoteRef/>
      </w:r>
      <w:r>
        <w:t xml:space="preserve"> Evidence of AM (</w:t>
      </w:r>
      <w:proofErr w:type="spellStart"/>
      <w:r>
        <w:t>xic</w:t>
      </w:r>
      <w:proofErr w:type="spellEnd"/>
      <w:r>
        <w:t>). The original proposal had been for a larger Multiversity building. However, this had to be reduced to align with the funds available through the LUF funding. This is why the scheme is now coming forward in 2 phases – see further submissions on funding below.</w:t>
      </w:r>
    </w:p>
  </w:footnote>
  <w:footnote w:id="30">
    <w:p w14:paraId="3AC3E952" w14:textId="08F78BFF" w:rsidR="00A9348F" w:rsidRDefault="00A9348F">
      <w:pPr>
        <w:pStyle w:val="FootnoteText"/>
      </w:pPr>
      <w:r>
        <w:rPr>
          <w:rStyle w:val="FootnoteReference"/>
        </w:rPr>
        <w:footnoteRef/>
      </w:r>
      <w:r>
        <w:t xml:space="preserve"> See AM 3.37 - 45</w:t>
      </w:r>
    </w:p>
  </w:footnote>
  <w:footnote w:id="31">
    <w:p w14:paraId="7F5EF985" w14:textId="4FECA69A" w:rsidR="00A9348F" w:rsidRDefault="00A9348F">
      <w:pPr>
        <w:pStyle w:val="FootnoteText"/>
      </w:pPr>
      <w:r>
        <w:rPr>
          <w:rStyle w:val="FootnoteReference"/>
        </w:rPr>
        <w:footnoteRef/>
      </w:r>
      <w:r>
        <w:t xml:space="preserve"> AM </w:t>
      </w:r>
      <w:proofErr w:type="spellStart"/>
      <w:r>
        <w:t>xic</w:t>
      </w:r>
      <w:proofErr w:type="spellEnd"/>
    </w:p>
  </w:footnote>
  <w:footnote w:id="32">
    <w:p w14:paraId="7F24FDD9" w14:textId="0EAF9473" w:rsidR="00A9348F" w:rsidRDefault="00A9348F">
      <w:pPr>
        <w:pStyle w:val="FootnoteText"/>
      </w:pPr>
      <w:r>
        <w:rPr>
          <w:rStyle w:val="FootnoteReference"/>
        </w:rPr>
        <w:footnoteRef/>
      </w:r>
      <w:r>
        <w:t xml:space="preserve"> AM PE 3.23</w:t>
      </w:r>
    </w:p>
  </w:footnote>
  <w:footnote w:id="33">
    <w:p w14:paraId="45DC87BC" w14:textId="38920317" w:rsidR="00C3710A" w:rsidRDefault="00C3710A">
      <w:pPr>
        <w:pStyle w:val="FootnoteText"/>
      </w:pPr>
      <w:r>
        <w:rPr>
          <w:rStyle w:val="FootnoteReference"/>
        </w:rPr>
        <w:footnoteRef/>
      </w:r>
      <w:r>
        <w:t xml:space="preserve"> AM </w:t>
      </w:r>
      <w:proofErr w:type="spellStart"/>
      <w:r>
        <w:t>xic</w:t>
      </w:r>
      <w:proofErr w:type="spellEnd"/>
    </w:p>
  </w:footnote>
  <w:footnote w:id="34">
    <w:p w14:paraId="4B499308" w14:textId="508B4E02" w:rsidR="00E9787B" w:rsidRDefault="00E9787B">
      <w:pPr>
        <w:pStyle w:val="FootnoteText"/>
      </w:pPr>
      <w:r>
        <w:rPr>
          <w:rStyle w:val="FootnoteReference"/>
        </w:rPr>
        <w:footnoteRef/>
      </w:r>
      <w:r>
        <w:t xml:space="preserve"> Appendix 2 Ed Harvey</w:t>
      </w:r>
    </w:p>
  </w:footnote>
  <w:footnote w:id="35">
    <w:p w14:paraId="76F699E9" w14:textId="399CE929" w:rsidR="00E9787B" w:rsidRDefault="00E9787B">
      <w:pPr>
        <w:pStyle w:val="FootnoteText"/>
      </w:pPr>
      <w:r>
        <w:rPr>
          <w:rStyle w:val="FootnoteReference"/>
        </w:rPr>
        <w:footnoteRef/>
      </w:r>
      <w:r>
        <w:t xml:space="preserve"> Depending on whether educational or office uses come forward for Phase 2. Note: Scenario A in the </w:t>
      </w:r>
      <w:proofErr w:type="spellStart"/>
      <w:r>
        <w:t>Amion</w:t>
      </w:r>
      <w:proofErr w:type="spellEnd"/>
      <w:r>
        <w:t xml:space="preserve"> Report is for educational use, and Scenario B is for office use (p047). In these closing submissions, where two figures are given for Phase 2, the first is for scenario A (educational use), and the second is for office use.</w:t>
      </w:r>
    </w:p>
  </w:footnote>
  <w:footnote w:id="36">
    <w:p w14:paraId="66AC3CE2" w14:textId="2A5E2435" w:rsidR="00E93EA2" w:rsidRDefault="00E93EA2">
      <w:pPr>
        <w:pStyle w:val="FootnoteText"/>
      </w:pPr>
      <w:r>
        <w:rPr>
          <w:rStyle w:val="FootnoteReference"/>
        </w:rPr>
        <w:footnoteRef/>
      </w:r>
      <w:r>
        <w:t xml:space="preserve"> </w:t>
      </w:r>
      <w:proofErr w:type="spellStart"/>
      <w:r>
        <w:t>Amion</w:t>
      </w:r>
      <w:proofErr w:type="spellEnd"/>
      <w:r>
        <w:t xml:space="preserve"> Report p049</w:t>
      </w:r>
    </w:p>
  </w:footnote>
  <w:footnote w:id="37">
    <w:p w14:paraId="6D7C5FCE" w14:textId="4864F365" w:rsidR="00E93EA2" w:rsidRDefault="00E93EA2">
      <w:pPr>
        <w:pStyle w:val="FootnoteText"/>
      </w:pPr>
      <w:r>
        <w:rPr>
          <w:rStyle w:val="FootnoteReference"/>
        </w:rPr>
        <w:footnoteRef/>
      </w:r>
      <w:r>
        <w:t xml:space="preserve"> </w:t>
      </w:r>
      <w:proofErr w:type="spellStart"/>
      <w:r>
        <w:t>Amion</w:t>
      </w:r>
      <w:proofErr w:type="spellEnd"/>
      <w:r>
        <w:t xml:space="preserve"> Report p050</w:t>
      </w:r>
    </w:p>
  </w:footnote>
  <w:footnote w:id="38">
    <w:p w14:paraId="382211F4" w14:textId="5CA54F8B" w:rsidR="00E93EA2" w:rsidRDefault="00E93EA2">
      <w:pPr>
        <w:pStyle w:val="FootnoteText"/>
      </w:pPr>
      <w:r>
        <w:rPr>
          <w:rStyle w:val="FootnoteReference"/>
        </w:rPr>
        <w:footnoteRef/>
      </w:r>
      <w:r>
        <w:t xml:space="preserve"> </w:t>
      </w:r>
      <w:proofErr w:type="spellStart"/>
      <w:r>
        <w:t>Amion</w:t>
      </w:r>
      <w:proofErr w:type="spellEnd"/>
      <w:r>
        <w:t xml:space="preserve"> Report p050</w:t>
      </w:r>
    </w:p>
  </w:footnote>
  <w:footnote w:id="39">
    <w:p w14:paraId="5B299383" w14:textId="3667856D" w:rsidR="00E15C40" w:rsidRDefault="00E15C40">
      <w:pPr>
        <w:pStyle w:val="FootnoteText"/>
      </w:pPr>
      <w:r>
        <w:rPr>
          <w:rStyle w:val="FootnoteReference"/>
        </w:rPr>
        <w:footnoteRef/>
      </w:r>
      <w:r>
        <w:t xml:space="preserve"> </w:t>
      </w:r>
      <w:proofErr w:type="spellStart"/>
      <w:r>
        <w:t>xic</w:t>
      </w:r>
      <w:proofErr w:type="spellEnd"/>
    </w:p>
  </w:footnote>
  <w:footnote w:id="40">
    <w:p w14:paraId="7723BAC1" w14:textId="396B7530" w:rsidR="00E9787B" w:rsidRDefault="00E9787B">
      <w:pPr>
        <w:pStyle w:val="FootnoteText"/>
      </w:pPr>
      <w:r>
        <w:rPr>
          <w:rStyle w:val="FootnoteReference"/>
        </w:rPr>
        <w:footnoteRef/>
      </w:r>
      <w:r>
        <w:t xml:space="preserve"> Ed Harvey </w:t>
      </w:r>
      <w:proofErr w:type="spellStart"/>
      <w:r>
        <w:t>xic</w:t>
      </w:r>
      <w:proofErr w:type="spellEnd"/>
    </w:p>
  </w:footnote>
  <w:footnote w:id="41">
    <w:p w14:paraId="612F9296" w14:textId="71ADDA68" w:rsidR="00E9787B" w:rsidRDefault="00E9787B">
      <w:pPr>
        <w:pStyle w:val="FootnoteText"/>
      </w:pPr>
      <w:r>
        <w:rPr>
          <w:rStyle w:val="FootnoteReference"/>
        </w:rPr>
        <w:footnoteRef/>
      </w:r>
      <w:r>
        <w:t xml:space="preserve"> EH </w:t>
      </w:r>
      <w:proofErr w:type="spellStart"/>
      <w:r>
        <w:t>xic</w:t>
      </w:r>
      <w:proofErr w:type="spellEnd"/>
    </w:p>
  </w:footnote>
  <w:footnote w:id="42">
    <w:p w14:paraId="64BD25BD" w14:textId="706763C7" w:rsidR="00E9787B" w:rsidRDefault="00E9787B">
      <w:pPr>
        <w:pStyle w:val="FootnoteText"/>
      </w:pPr>
      <w:r>
        <w:rPr>
          <w:rStyle w:val="FootnoteReference"/>
        </w:rPr>
        <w:footnoteRef/>
      </w:r>
      <w:r>
        <w:t xml:space="preserve"> A BNG score could not be calculated for the site using V4 of the BNG metric because the baseline score is 0 (there is no biodiversity value in the site at present). However, there will be a gain of 0.32 or 100% in habitat units.</w:t>
      </w:r>
    </w:p>
  </w:footnote>
  <w:footnote w:id="43">
    <w:p w14:paraId="576EC336" w14:textId="77777777" w:rsidR="00F0148C" w:rsidRDefault="00F0148C" w:rsidP="00F0148C">
      <w:pPr>
        <w:pStyle w:val="FootnoteText"/>
      </w:pPr>
      <w:r>
        <w:rPr>
          <w:rStyle w:val="FootnoteReference"/>
        </w:rPr>
        <w:footnoteRef/>
      </w:r>
      <w:r>
        <w:t xml:space="preserve"> EH </w:t>
      </w:r>
      <w:proofErr w:type="spellStart"/>
      <w:r>
        <w:t>xic</w:t>
      </w:r>
      <w:proofErr w:type="spellEnd"/>
    </w:p>
  </w:footnote>
  <w:footnote w:id="44">
    <w:p w14:paraId="4E72078F" w14:textId="63BD93B8" w:rsidR="00624E98" w:rsidRDefault="00624E98">
      <w:pPr>
        <w:pStyle w:val="FootnoteText"/>
      </w:pPr>
      <w:r>
        <w:rPr>
          <w:rStyle w:val="FootnoteReference"/>
        </w:rPr>
        <w:footnoteRef/>
      </w:r>
      <w:r>
        <w:t xml:space="preserve"> See 106.1 – 2 and 109.1 (bullet 2) Guidance, as well as the enabling provisions in s226 TCPA</w:t>
      </w:r>
    </w:p>
  </w:footnote>
  <w:footnote w:id="45">
    <w:p w14:paraId="141641C2" w14:textId="010CB9FE" w:rsidR="006B73F5" w:rsidRDefault="006B73F5">
      <w:pPr>
        <w:pStyle w:val="FootnoteText"/>
      </w:pPr>
      <w:r>
        <w:rPr>
          <w:rStyle w:val="FootnoteReference"/>
        </w:rPr>
        <w:footnoteRef/>
      </w:r>
      <w:r>
        <w:t xml:space="preserve"> Bullet (1) CPO Guidance</w:t>
      </w:r>
    </w:p>
  </w:footnote>
  <w:footnote w:id="46">
    <w:p w14:paraId="6EADE914" w14:textId="6E5EA0C1" w:rsidR="00624E98" w:rsidRDefault="00624E98">
      <w:pPr>
        <w:pStyle w:val="FootnoteText"/>
      </w:pPr>
      <w:r>
        <w:rPr>
          <w:rStyle w:val="FootnoteReference"/>
        </w:rPr>
        <w:footnoteRef/>
      </w:r>
      <w:r>
        <w:t xml:space="preserve"> CPO Guidance 107.1</w:t>
      </w:r>
    </w:p>
  </w:footnote>
  <w:footnote w:id="47">
    <w:p w14:paraId="3B9A3B2C" w14:textId="1D4D6E29" w:rsidR="00624E98" w:rsidRDefault="00624E98">
      <w:pPr>
        <w:pStyle w:val="FootnoteText"/>
      </w:pPr>
      <w:r>
        <w:rPr>
          <w:rStyle w:val="FootnoteReference"/>
        </w:rPr>
        <w:footnoteRef/>
      </w:r>
      <w:r>
        <w:t xml:space="preserve"> CPO Guidance 109.1 (bullet 1)</w:t>
      </w:r>
    </w:p>
  </w:footnote>
  <w:footnote w:id="48">
    <w:p w14:paraId="6568D25D" w14:textId="24F6F022" w:rsidR="00624E98" w:rsidRDefault="00624E98">
      <w:pPr>
        <w:pStyle w:val="FootnoteText"/>
      </w:pPr>
      <w:r>
        <w:rPr>
          <w:rStyle w:val="FootnoteReference"/>
        </w:rPr>
        <w:footnoteRef/>
      </w:r>
      <w:r>
        <w:t xml:space="preserve"> CS1 p.31</w:t>
      </w:r>
    </w:p>
  </w:footnote>
  <w:footnote w:id="49">
    <w:p w14:paraId="7848E86C" w14:textId="15AB7067" w:rsidR="00624E98" w:rsidRDefault="00624E98">
      <w:pPr>
        <w:pStyle w:val="FootnoteText"/>
      </w:pPr>
      <w:r>
        <w:rPr>
          <w:rStyle w:val="FootnoteReference"/>
        </w:rPr>
        <w:footnoteRef/>
      </w:r>
      <w:r>
        <w:t xml:space="preserve"> See Key Diagram p.30, </w:t>
      </w:r>
      <w:proofErr w:type="gramStart"/>
      <w:r>
        <w:t>and also</w:t>
      </w:r>
      <w:proofErr w:type="gramEnd"/>
      <w:r>
        <w:t xml:space="preserve"> Fig 15 p.34 EH proof – which shows the location of the Order Land against the Key Diagram.</w:t>
      </w:r>
    </w:p>
  </w:footnote>
  <w:footnote w:id="50">
    <w:p w14:paraId="3C7E4529" w14:textId="79C24E10" w:rsidR="00554110" w:rsidRDefault="00554110">
      <w:pPr>
        <w:pStyle w:val="FootnoteText"/>
      </w:pPr>
      <w:r>
        <w:rPr>
          <w:rStyle w:val="FootnoteReference"/>
        </w:rPr>
        <w:footnoteRef/>
      </w:r>
      <w:r>
        <w:t xml:space="preserve"> Whilst Mr. Whyte suggested at various points that the Order Land should not be considered together with the Talbot and Brunswick Ward, as Mr. Harvey explained, the point is that the Order Land is identified as the priority Inner Area Neighbourhood (Talbot and Brunswick) in the Core Strategy itself, where such regeneration, growth, development and investment is specifically encouraged and promoted.</w:t>
      </w:r>
    </w:p>
  </w:footnote>
  <w:footnote w:id="51">
    <w:p w14:paraId="2C0E41DF" w14:textId="57969BFA" w:rsidR="002664BE" w:rsidRDefault="002664BE">
      <w:pPr>
        <w:pStyle w:val="FootnoteText"/>
      </w:pPr>
      <w:r>
        <w:rPr>
          <w:rStyle w:val="FootnoteReference"/>
        </w:rPr>
        <w:footnoteRef/>
      </w:r>
      <w:r>
        <w:t xml:space="preserve"> See Reasoned Explanation</w:t>
      </w:r>
      <w:r w:rsidR="00FB2DB1">
        <w:t xml:space="preserve"> </w:t>
      </w:r>
      <w:r>
        <w:t>at para 6.4 p.76</w:t>
      </w:r>
    </w:p>
  </w:footnote>
  <w:footnote w:id="52">
    <w:p w14:paraId="6048124E" w14:textId="00F3607D" w:rsidR="002664BE" w:rsidRDefault="002664BE">
      <w:pPr>
        <w:pStyle w:val="FootnoteText"/>
      </w:pPr>
      <w:r>
        <w:rPr>
          <w:rStyle w:val="FootnoteReference"/>
        </w:rPr>
        <w:footnoteRef/>
      </w:r>
      <w:r>
        <w:t xml:space="preserve"> CS (3) – p74</w:t>
      </w:r>
    </w:p>
  </w:footnote>
  <w:footnote w:id="53">
    <w:p w14:paraId="315FC590" w14:textId="46F7CEDA" w:rsidR="002664BE" w:rsidRDefault="002664BE">
      <w:pPr>
        <w:pStyle w:val="FootnoteText"/>
      </w:pPr>
      <w:r>
        <w:rPr>
          <w:rStyle w:val="FootnoteReference"/>
        </w:rPr>
        <w:footnoteRef/>
      </w:r>
      <w:r>
        <w:t xml:space="preserve"> CS12 (1) (b) and (d) – p.74</w:t>
      </w:r>
    </w:p>
  </w:footnote>
  <w:footnote w:id="54">
    <w:p w14:paraId="6294F4CC" w14:textId="19D8866E" w:rsidR="00554110" w:rsidRDefault="00554110">
      <w:pPr>
        <w:pStyle w:val="FootnoteText"/>
      </w:pPr>
      <w:r>
        <w:rPr>
          <w:rStyle w:val="FootnoteReference"/>
        </w:rPr>
        <w:footnoteRef/>
      </w:r>
      <w:r>
        <w:t xml:space="preserve"> P.76</w:t>
      </w:r>
    </w:p>
  </w:footnote>
  <w:footnote w:id="55">
    <w:p w14:paraId="6E099A3E" w14:textId="4FA85A82" w:rsidR="00554110" w:rsidRDefault="00554110">
      <w:pPr>
        <w:pStyle w:val="FootnoteText"/>
      </w:pPr>
      <w:r>
        <w:rPr>
          <w:rStyle w:val="FootnoteReference"/>
        </w:rPr>
        <w:footnoteRef/>
      </w:r>
      <w:r>
        <w:t xml:space="preserve"> P.91</w:t>
      </w:r>
    </w:p>
  </w:footnote>
  <w:footnote w:id="56">
    <w:p w14:paraId="67EF5A98" w14:textId="0140A900" w:rsidR="00554110" w:rsidRDefault="00554110">
      <w:pPr>
        <w:pStyle w:val="FootnoteText"/>
      </w:pPr>
      <w:r>
        <w:rPr>
          <w:rStyle w:val="FootnoteReference"/>
        </w:rPr>
        <w:footnoteRef/>
      </w:r>
      <w:r>
        <w:t xml:space="preserve"> CS1 and CS12</w:t>
      </w:r>
    </w:p>
  </w:footnote>
  <w:footnote w:id="57">
    <w:p w14:paraId="7E4FE726" w14:textId="120B6E91" w:rsidR="002664BE" w:rsidRDefault="002664BE">
      <w:pPr>
        <w:pStyle w:val="FootnoteText"/>
      </w:pPr>
      <w:r>
        <w:rPr>
          <w:rStyle w:val="FootnoteReference"/>
        </w:rPr>
        <w:footnoteRef/>
      </w:r>
      <w:r>
        <w:t xml:space="preserve"> In so far is it is adjacent to the town centre boundary – see Policy CS1</w:t>
      </w:r>
      <w:r w:rsidR="00554110">
        <w:t>, CS17 and CS19 - above</w:t>
      </w:r>
    </w:p>
  </w:footnote>
  <w:footnote w:id="58">
    <w:p w14:paraId="2A3C6572" w14:textId="02D56096" w:rsidR="00554110" w:rsidRDefault="00554110">
      <w:pPr>
        <w:pStyle w:val="FootnoteText"/>
      </w:pPr>
      <w:r>
        <w:rPr>
          <w:rStyle w:val="FootnoteReference"/>
        </w:rPr>
        <w:footnoteRef/>
      </w:r>
      <w:r>
        <w:t xml:space="preserve"> P.84</w:t>
      </w:r>
    </w:p>
  </w:footnote>
  <w:footnote w:id="59">
    <w:p w14:paraId="2E206A13" w14:textId="77777777" w:rsidR="00554110" w:rsidRDefault="00554110" w:rsidP="00554110">
      <w:pPr>
        <w:pStyle w:val="FootnoteText"/>
      </w:pPr>
      <w:r>
        <w:rPr>
          <w:rStyle w:val="FootnoteReference"/>
        </w:rPr>
        <w:footnoteRef/>
      </w:r>
      <w:r>
        <w:t xml:space="preserve"> CPO Guidance 107.1 and 109.1 (bullet 1)</w:t>
      </w:r>
    </w:p>
  </w:footnote>
  <w:footnote w:id="60">
    <w:p w14:paraId="2FC4AB9A" w14:textId="29CF76E4" w:rsidR="00147617" w:rsidRDefault="00147617">
      <w:pPr>
        <w:pStyle w:val="FootnoteText"/>
      </w:pPr>
      <w:r>
        <w:rPr>
          <w:rStyle w:val="FootnoteReference"/>
        </w:rPr>
        <w:footnoteRef/>
      </w:r>
      <w:r>
        <w:t xml:space="preserve"> CPO Guidance 109.1 (bullet 3)</w:t>
      </w:r>
    </w:p>
  </w:footnote>
  <w:footnote w:id="61">
    <w:p w14:paraId="17280DDE" w14:textId="449CC72C" w:rsidR="00554110" w:rsidRDefault="00554110">
      <w:pPr>
        <w:pStyle w:val="FootnoteText"/>
      </w:pPr>
      <w:r>
        <w:rPr>
          <w:rStyle w:val="FootnoteReference"/>
        </w:rPr>
        <w:footnoteRef/>
      </w:r>
      <w:r>
        <w:t xml:space="preserve"> CDG1</w:t>
      </w:r>
    </w:p>
  </w:footnote>
  <w:footnote w:id="62">
    <w:p w14:paraId="1463AF8D" w14:textId="4B6E4CF2" w:rsidR="002C5712" w:rsidRDefault="002C5712">
      <w:pPr>
        <w:pStyle w:val="FootnoteText"/>
      </w:pPr>
      <w:r>
        <w:rPr>
          <w:rStyle w:val="FootnoteReference"/>
        </w:rPr>
        <w:footnoteRef/>
      </w:r>
      <w:r>
        <w:t xml:space="preserve"> Answer to Inspector’s questions</w:t>
      </w:r>
    </w:p>
  </w:footnote>
  <w:footnote w:id="63">
    <w:p w14:paraId="5361D36D" w14:textId="1C7FD57B" w:rsidR="0007427B" w:rsidRDefault="0007427B">
      <w:pPr>
        <w:pStyle w:val="FootnoteText"/>
      </w:pPr>
      <w:r>
        <w:rPr>
          <w:rStyle w:val="FootnoteReference"/>
        </w:rPr>
        <w:footnoteRef/>
      </w:r>
      <w:r>
        <w:t xml:space="preserve"> It is of note that, following stage 1 of the inquiry, Mr. Whyte withdrew his objection. However, given that alternative site options are raised by other objectors, albeit in non – specific and the broadest of terms, I continue to refer to the evidence presented in closing.</w:t>
      </w:r>
    </w:p>
  </w:footnote>
  <w:footnote w:id="64">
    <w:p w14:paraId="6E4D5D4A" w14:textId="56B05811" w:rsidR="00554110" w:rsidRDefault="00554110">
      <w:pPr>
        <w:pStyle w:val="FootnoteText"/>
      </w:pPr>
      <w:r>
        <w:rPr>
          <w:rStyle w:val="FootnoteReference"/>
        </w:rPr>
        <w:footnoteRef/>
      </w:r>
      <w:r>
        <w:t xml:space="preserve"> See scoring matrix 1371</w:t>
      </w:r>
    </w:p>
  </w:footnote>
  <w:footnote w:id="65">
    <w:p w14:paraId="5BBCACFD" w14:textId="448C61F6" w:rsidR="00554110" w:rsidRDefault="00554110">
      <w:pPr>
        <w:pStyle w:val="FootnoteText"/>
      </w:pPr>
      <w:r>
        <w:rPr>
          <w:rStyle w:val="FootnoteReference"/>
        </w:rPr>
        <w:footnoteRef/>
      </w:r>
      <w:r>
        <w:t xml:space="preserve"> See p.1388 -9: Option K would have required multiple diversions /stopping up of King Street, and there </w:t>
      </w:r>
      <w:proofErr w:type="gramStart"/>
      <w:r>
        <w:t>are</w:t>
      </w:r>
      <w:proofErr w:type="gramEnd"/>
      <w:r>
        <w:t xml:space="preserve"> utility issues associated with high voltage cables</w:t>
      </w:r>
      <w:r w:rsidR="000F747F">
        <w:t xml:space="preserve"> and sewer</w:t>
      </w:r>
      <w:r>
        <w:t>.</w:t>
      </w:r>
    </w:p>
  </w:footnote>
  <w:footnote w:id="66">
    <w:p w14:paraId="4AB92250" w14:textId="7E576647" w:rsidR="002C5712" w:rsidRDefault="002C5712">
      <w:pPr>
        <w:pStyle w:val="FootnoteText"/>
      </w:pPr>
      <w:r>
        <w:rPr>
          <w:rStyle w:val="FootnoteReference"/>
        </w:rPr>
        <w:footnoteRef/>
      </w:r>
      <w:r>
        <w:t xml:space="preserve"> NG </w:t>
      </w:r>
      <w:proofErr w:type="spellStart"/>
      <w:r>
        <w:t>xic</w:t>
      </w:r>
      <w:proofErr w:type="spellEnd"/>
    </w:p>
  </w:footnote>
  <w:footnote w:id="67">
    <w:p w14:paraId="50D389F2" w14:textId="4FE99465" w:rsidR="002C5712" w:rsidRDefault="002C5712">
      <w:pPr>
        <w:pStyle w:val="FootnoteText"/>
      </w:pPr>
      <w:r>
        <w:rPr>
          <w:rStyle w:val="FootnoteReference"/>
        </w:rPr>
        <w:footnoteRef/>
      </w:r>
      <w:r>
        <w:t xml:space="preserve"> NG </w:t>
      </w:r>
      <w:proofErr w:type="spellStart"/>
      <w:r>
        <w:t>xic</w:t>
      </w:r>
      <w:proofErr w:type="spellEnd"/>
    </w:p>
  </w:footnote>
  <w:footnote w:id="68">
    <w:p w14:paraId="66B1B436" w14:textId="47EAA2A8" w:rsidR="00554110" w:rsidRDefault="00554110">
      <w:pPr>
        <w:pStyle w:val="FootnoteText"/>
      </w:pPr>
      <w:r>
        <w:rPr>
          <w:rStyle w:val="FootnoteReference"/>
        </w:rPr>
        <w:footnoteRef/>
      </w:r>
      <w:r>
        <w:t xml:space="preserve"> </w:t>
      </w:r>
      <w:r w:rsidR="00C65FB8">
        <w:t>Blackpool Local Plan Part Two Policy</w:t>
      </w:r>
      <w:r w:rsidR="00C65FB8" w:rsidRPr="00C65FB8">
        <w:t xml:space="preserve"> MUSA1: Town Centre Mixed Use Site</w:t>
      </w:r>
    </w:p>
  </w:footnote>
  <w:footnote w:id="69">
    <w:p w14:paraId="49FFF2AE" w14:textId="2AA5D886" w:rsidR="00554110" w:rsidRDefault="00554110">
      <w:pPr>
        <w:pStyle w:val="FootnoteText"/>
      </w:pPr>
      <w:r>
        <w:rPr>
          <w:rStyle w:val="FootnoteReference"/>
        </w:rPr>
        <w:footnoteRef/>
      </w:r>
      <w:r>
        <w:t xml:space="preserve"> Including the necessary expansion land for Phase 2</w:t>
      </w:r>
    </w:p>
  </w:footnote>
  <w:footnote w:id="70">
    <w:p w14:paraId="78986F84" w14:textId="4E58DD9E" w:rsidR="00D93D8C" w:rsidRDefault="00D93D8C">
      <w:pPr>
        <w:pStyle w:val="FootnoteText"/>
      </w:pPr>
      <w:r>
        <w:rPr>
          <w:rStyle w:val="FootnoteReference"/>
        </w:rPr>
        <w:footnoteRef/>
      </w:r>
      <w:r>
        <w:t xml:space="preserve"> CD G1, p1356 and 1388</w:t>
      </w:r>
    </w:p>
  </w:footnote>
  <w:footnote w:id="71">
    <w:p w14:paraId="3DD9A36D" w14:textId="5FF54518" w:rsidR="00554110" w:rsidRDefault="00554110">
      <w:pPr>
        <w:pStyle w:val="FootnoteText"/>
      </w:pPr>
      <w:r>
        <w:rPr>
          <w:rStyle w:val="FootnoteReference"/>
        </w:rPr>
        <w:footnoteRef/>
      </w:r>
      <w:r>
        <w:t xml:space="preserve"> 109.1 bullet (3) CPO Guidance</w:t>
      </w:r>
    </w:p>
  </w:footnote>
  <w:footnote w:id="72">
    <w:p w14:paraId="713688C7" w14:textId="7A69386E" w:rsidR="00147617" w:rsidRDefault="00147617">
      <w:pPr>
        <w:pStyle w:val="FootnoteText"/>
      </w:pPr>
      <w:r>
        <w:rPr>
          <w:rStyle w:val="FootnoteReference"/>
        </w:rPr>
        <w:footnoteRef/>
      </w:r>
      <w:r>
        <w:t xml:space="preserve"> 109.1 bullet (4) CPO Guidance</w:t>
      </w:r>
    </w:p>
  </w:footnote>
  <w:footnote w:id="73">
    <w:p w14:paraId="6B07D849" w14:textId="7AED189F" w:rsidR="00147617" w:rsidRDefault="00147617">
      <w:pPr>
        <w:pStyle w:val="FootnoteText"/>
      </w:pPr>
      <w:r>
        <w:rPr>
          <w:rStyle w:val="FootnoteReference"/>
        </w:rPr>
        <w:footnoteRef/>
      </w:r>
      <w:r>
        <w:t xml:space="preserve"> Paragraph 108.1</w:t>
      </w:r>
    </w:p>
  </w:footnote>
  <w:footnote w:id="74">
    <w:p w14:paraId="65EF7405" w14:textId="408C8E79" w:rsidR="00147617" w:rsidRDefault="00147617">
      <w:pPr>
        <w:pStyle w:val="FootnoteText"/>
      </w:pPr>
      <w:r>
        <w:rPr>
          <w:rStyle w:val="FootnoteReference"/>
        </w:rPr>
        <w:footnoteRef/>
      </w:r>
      <w:r>
        <w:t xml:space="preserve"> NG and EH </w:t>
      </w:r>
      <w:proofErr w:type="spellStart"/>
      <w:r>
        <w:t>xic</w:t>
      </w:r>
      <w:proofErr w:type="spellEnd"/>
    </w:p>
  </w:footnote>
  <w:footnote w:id="75">
    <w:p w14:paraId="5367A577" w14:textId="7631CC8D" w:rsidR="00147617" w:rsidRDefault="00147617">
      <w:pPr>
        <w:pStyle w:val="FootnoteText"/>
      </w:pPr>
      <w:r>
        <w:rPr>
          <w:rStyle w:val="FootnoteReference"/>
        </w:rPr>
        <w:footnoteRef/>
      </w:r>
      <w:r>
        <w:t xml:space="preserve"> See CD G2 p.1499</w:t>
      </w:r>
    </w:p>
  </w:footnote>
  <w:footnote w:id="76">
    <w:p w14:paraId="26E77B20" w14:textId="47AF2C9B" w:rsidR="00147617" w:rsidRDefault="00147617">
      <w:pPr>
        <w:pStyle w:val="FootnoteText"/>
      </w:pPr>
      <w:r>
        <w:rPr>
          <w:rStyle w:val="FootnoteReference"/>
        </w:rPr>
        <w:footnoteRef/>
      </w:r>
      <w:r>
        <w:t xml:space="preserve"> See 15.21 – 22 NG PE, and </w:t>
      </w:r>
      <w:proofErr w:type="spellStart"/>
      <w:r>
        <w:t>xic</w:t>
      </w:r>
      <w:proofErr w:type="spellEnd"/>
    </w:p>
  </w:footnote>
  <w:footnote w:id="77">
    <w:p w14:paraId="793F192D" w14:textId="6F0E73FD" w:rsidR="00147617" w:rsidRDefault="00147617">
      <w:pPr>
        <w:pStyle w:val="FootnoteText"/>
      </w:pPr>
      <w:r>
        <w:rPr>
          <w:rStyle w:val="FootnoteReference"/>
        </w:rPr>
        <w:footnoteRef/>
      </w:r>
      <w:r>
        <w:t xml:space="preserve"> CPO Guidance 108.1</w:t>
      </w:r>
    </w:p>
  </w:footnote>
  <w:footnote w:id="78">
    <w:p w14:paraId="0C2164C2" w14:textId="7B13D04F" w:rsidR="00147617" w:rsidRDefault="00147617">
      <w:pPr>
        <w:pStyle w:val="FootnoteText"/>
      </w:pPr>
      <w:r>
        <w:rPr>
          <w:rStyle w:val="FootnoteReference"/>
        </w:rPr>
        <w:footnoteRef/>
      </w:r>
      <w:r>
        <w:t xml:space="preserve"> </w:t>
      </w:r>
      <w:proofErr w:type="spellStart"/>
      <w:r>
        <w:t>xic</w:t>
      </w:r>
      <w:proofErr w:type="spellEnd"/>
    </w:p>
  </w:footnote>
  <w:footnote w:id="79">
    <w:p w14:paraId="77913BD8" w14:textId="77777777" w:rsidR="00147617" w:rsidRDefault="00147617" w:rsidP="00147617">
      <w:pPr>
        <w:pStyle w:val="FootnoteText"/>
      </w:pPr>
      <w:r>
        <w:rPr>
          <w:rStyle w:val="FootnoteReference"/>
        </w:rPr>
        <w:footnoteRef/>
      </w:r>
      <w:r>
        <w:t xml:space="preserve"> NG 15.7 PE</w:t>
      </w:r>
    </w:p>
  </w:footnote>
  <w:footnote w:id="80">
    <w:p w14:paraId="5CAA44A6" w14:textId="20C5F2C4" w:rsidR="00147617" w:rsidRDefault="00147617">
      <w:pPr>
        <w:pStyle w:val="FootnoteText"/>
      </w:pPr>
      <w:r>
        <w:rPr>
          <w:rStyle w:val="FootnoteReference"/>
        </w:rPr>
        <w:footnoteRef/>
      </w:r>
      <w:r>
        <w:t xml:space="preserve"> CPO Guidance 107.2</w:t>
      </w:r>
    </w:p>
  </w:footnote>
  <w:footnote w:id="81">
    <w:p w14:paraId="5CD25244" w14:textId="7D7E1E1F" w:rsidR="00554110" w:rsidRDefault="00554110">
      <w:pPr>
        <w:pStyle w:val="FootnoteText"/>
      </w:pPr>
      <w:r>
        <w:rPr>
          <w:rStyle w:val="FootnoteReference"/>
        </w:rPr>
        <w:footnoteRef/>
      </w:r>
      <w:r>
        <w:t xml:space="preserve"> EH </w:t>
      </w:r>
      <w:proofErr w:type="spellStart"/>
      <w:r>
        <w:t>xic</w:t>
      </w:r>
      <w:proofErr w:type="spellEnd"/>
    </w:p>
  </w:footnote>
  <w:footnote w:id="82">
    <w:p w14:paraId="2C9EB7B4" w14:textId="70828459" w:rsidR="0007427B" w:rsidRDefault="0007427B">
      <w:pPr>
        <w:pStyle w:val="FootnoteText"/>
      </w:pPr>
      <w:r>
        <w:rPr>
          <w:rStyle w:val="FootnoteReference"/>
        </w:rPr>
        <w:footnoteRef/>
      </w:r>
      <w:r>
        <w:t xml:space="preserve"> Mr. Whyte was an original objector to the CPO, although his objection is now withdrawn</w:t>
      </w:r>
    </w:p>
  </w:footnote>
  <w:footnote w:id="83">
    <w:p w14:paraId="54D7229D" w14:textId="554BCF15" w:rsidR="00554110" w:rsidRDefault="00554110">
      <w:pPr>
        <w:pStyle w:val="FootnoteText"/>
      </w:pPr>
      <w:r>
        <w:rPr>
          <w:rStyle w:val="FootnoteReference"/>
        </w:rPr>
        <w:footnoteRef/>
      </w:r>
      <w:r>
        <w:t xml:space="preserve"> Officer’s Report paragraph 7.1.11 – extract at 5.29 EH PE</w:t>
      </w:r>
    </w:p>
  </w:footnote>
  <w:footnote w:id="84">
    <w:p w14:paraId="1E9B9FC8" w14:textId="2D61AD64" w:rsidR="00554110" w:rsidRDefault="00554110">
      <w:pPr>
        <w:pStyle w:val="FootnoteText"/>
      </w:pPr>
      <w:r>
        <w:rPr>
          <w:rStyle w:val="FootnoteReference"/>
        </w:rPr>
        <w:footnoteRef/>
      </w:r>
      <w:r>
        <w:t xml:space="preserve"> See 3.63 – 3.65 EH PE</w:t>
      </w:r>
    </w:p>
  </w:footnote>
  <w:footnote w:id="85">
    <w:p w14:paraId="2B54EA6C" w14:textId="77777777" w:rsidR="00147617" w:rsidRDefault="00147617" w:rsidP="00147617">
      <w:pPr>
        <w:pStyle w:val="FootnoteText"/>
      </w:pPr>
      <w:r>
        <w:rPr>
          <w:rStyle w:val="FootnoteReference"/>
        </w:rPr>
        <w:footnoteRef/>
      </w:r>
      <w:r>
        <w:t xml:space="preserve"> 107.2 CPO Guidance</w:t>
      </w:r>
    </w:p>
  </w:footnote>
  <w:footnote w:id="86">
    <w:p w14:paraId="29EAB85F" w14:textId="3AFA3DDD" w:rsidR="00227556" w:rsidRDefault="00227556">
      <w:pPr>
        <w:pStyle w:val="FootnoteText"/>
      </w:pPr>
      <w:r>
        <w:rPr>
          <w:rStyle w:val="FootnoteReference"/>
        </w:rPr>
        <w:footnoteRef/>
      </w:r>
      <w:r>
        <w:t xml:space="preserve"> 3</w:t>
      </w:r>
      <w:r w:rsidRPr="00227556">
        <w:rPr>
          <w:vertAlign w:val="superscript"/>
        </w:rPr>
        <w:t>rd</w:t>
      </w:r>
      <w:r>
        <w:t xml:space="preserve"> December 2024</w:t>
      </w:r>
    </w:p>
  </w:footnote>
  <w:footnote w:id="87">
    <w:p w14:paraId="35DB73DF" w14:textId="3ACACA83" w:rsidR="00227556" w:rsidRDefault="00227556">
      <w:pPr>
        <w:pStyle w:val="FootnoteText"/>
      </w:pPr>
      <w:r>
        <w:rPr>
          <w:rStyle w:val="FootnoteReference"/>
        </w:rPr>
        <w:footnoteRef/>
      </w:r>
      <w:r>
        <w:t xml:space="preserve"> Chadwick, Taylor, Mr. Gerrard, Mrs. Gerrard, Mr. Whyte, Mr. Hearty, Mr. </w:t>
      </w:r>
      <w:proofErr w:type="spellStart"/>
      <w:r>
        <w:t>Bolina</w:t>
      </w:r>
      <w:proofErr w:type="spellEnd"/>
      <w:r>
        <w:t xml:space="preserve">, Mr. Gorton, Ms. </w:t>
      </w:r>
      <w:proofErr w:type="spellStart"/>
      <w:r>
        <w:t>Citterio</w:t>
      </w:r>
      <w:proofErr w:type="spellEnd"/>
    </w:p>
  </w:footnote>
  <w:footnote w:id="88">
    <w:p w14:paraId="0CB929F8" w14:textId="3207602E" w:rsidR="007302B4" w:rsidRDefault="007302B4">
      <w:pPr>
        <w:pStyle w:val="FootnoteText"/>
      </w:pPr>
      <w:r>
        <w:rPr>
          <w:rStyle w:val="FootnoteReference"/>
        </w:rPr>
        <w:footnoteRef/>
      </w:r>
      <w:r>
        <w:t xml:space="preserve"> See 4.1 PE</w:t>
      </w:r>
    </w:p>
  </w:footnote>
  <w:footnote w:id="89">
    <w:p w14:paraId="13008525" w14:textId="5937A2A9" w:rsidR="007302B4" w:rsidRDefault="007302B4">
      <w:pPr>
        <w:pStyle w:val="FootnoteText"/>
      </w:pPr>
      <w:r>
        <w:rPr>
          <w:rStyle w:val="FootnoteReference"/>
        </w:rPr>
        <w:footnoteRef/>
      </w:r>
      <w:r>
        <w:t xml:space="preserve"> PE 4.10 - 12</w:t>
      </w:r>
    </w:p>
  </w:footnote>
  <w:footnote w:id="90">
    <w:p w14:paraId="4BD5A8AC" w14:textId="6C58BBAE" w:rsidR="007302B4" w:rsidRDefault="007302B4">
      <w:pPr>
        <w:pStyle w:val="FootnoteText"/>
      </w:pPr>
      <w:r>
        <w:rPr>
          <w:rStyle w:val="FootnoteReference"/>
        </w:rPr>
        <w:footnoteRef/>
      </w:r>
      <w:r>
        <w:t xml:space="preserve"> TY </w:t>
      </w:r>
      <w:proofErr w:type="spellStart"/>
      <w:r>
        <w:t>xic</w:t>
      </w:r>
      <w:proofErr w:type="spellEnd"/>
    </w:p>
  </w:footnote>
  <w:footnote w:id="91">
    <w:p w14:paraId="498ABEF0" w14:textId="7FCF6483" w:rsidR="007302B4" w:rsidRDefault="007302B4">
      <w:pPr>
        <w:pStyle w:val="FootnoteText"/>
      </w:pPr>
      <w:r>
        <w:rPr>
          <w:rStyle w:val="FootnoteReference"/>
        </w:rPr>
        <w:footnoteRef/>
      </w:r>
      <w:r>
        <w:t xml:space="preserve"> 4.8 PE</w:t>
      </w:r>
      <w:r w:rsidR="003A5E5E">
        <w:t xml:space="preserve"> </w:t>
      </w:r>
    </w:p>
  </w:footnote>
  <w:footnote w:id="92">
    <w:p w14:paraId="686B05E7" w14:textId="4E7FD806" w:rsidR="003A5E5E" w:rsidRDefault="003A5E5E">
      <w:pPr>
        <w:pStyle w:val="FootnoteText"/>
      </w:pPr>
      <w:r>
        <w:rPr>
          <w:rStyle w:val="FootnoteReference"/>
        </w:rPr>
        <w:footnoteRef/>
      </w:r>
      <w:r>
        <w:t xml:space="preserve"> TY PE 4.10</w:t>
      </w:r>
    </w:p>
  </w:footnote>
  <w:footnote w:id="93">
    <w:p w14:paraId="74ADA66F" w14:textId="69AEB704" w:rsidR="00216458" w:rsidRDefault="00216458">
      <w:pPr>
        <w:pStyle w:val="FootnoteText"/>
      </w:pPr>
      <w:r>
        <w:rPr>
          <w:rStyle w:val="FootnoteReference"/>
        </w:rPr>
        <w:footnoteRef/>
      </w:r>
      <w:r>
        <w:t xml:space="preserve"> TY </w:t>
      </w:r>
      <w:proofErr w:type="spellStart"/>
      <w:r>
        <w:t>xic</w:t>
      </w:r>
      <w:proofErr w:type="spellEnd"/>
    </w:p>
  </w:footnote>
  <w:footnote w:id="94">
    <w:p w14:paraId="59265274" w14:textId="2E98CF47" w:rsidR="003A5E5E" w:rsidRDefault="003A5E5E">
      <w:pPr>
        <w:pStyle w:val="FootnoteText"/>
      </w:pPr>
      <w:r>
        <w:rPr>
          <w:rStyle w:val="FootnoteReference"/>
        </w:rPr>
        <w:footnoteRef/>
      </w:r>
      <w:r>
        <w:t xml:space="preserve"> TY3, and PE 4.18</w:t>
      </w:r>
    </w:p>
  </w:footnote>
  <w:footnote w:id="95">
    <w:p w14:paraId="360910C9" w14:textId="4D36AD40" w:rsidR="0021096D" w:rsidRDefault="0021096D">
      <w:pPr>
        <w:pStyle w:val="FootnoteText"/>
      </w:pPr>
      <w:r>
        <w:rPr>
          <w:rStyle w:val="FootnoteReference"/>
        </w:rPr>
        <w:footnoteRef/>
      </w:r>
      <w:r>
        <w:t xml:space="preserve"> </w:t>
      </w:r>
      <w:proofErr w:type="spellStart"/>
      <w:r>
        <w:t>Xic</w:t>
      </w:r>
      <w:proofErr w:type="spellEnd"/>
      <w:r>
        <w:t xml:space="preserve"> TY</w:t>
      </w:r>
      <w:r w:rsidR="00216458">
        <w:t xml:space="preserve"> “all bar one” of those attending had agreed terms by the end of the event.</w:t>
      </w:r>
    </w:p>
  </w:footnote>
  <w:footnote w:id="96">
    <w:p w14:paraId="40A9E37F" w14:textId="5A9F8926" w:rsidR="0021096D" w:rsidRDefault="0021096D">
      <w:pPr>
        <w:pStyle w:val="FootnoteText"/>
      </w:pPr>
      <w:r>
        <w:rPr>
          <w:rStyle w:val="FootnoteReference"/>
        </w:rPr>
        <w:footnoteRef/>
      </w:r>
      <w:r>
        <w:t xml:space="preserve"> TY </w:t>
      </w:r>
      <w:proofErr w:type="spellStart"/>
      <w:r>
        <w:t>xic</w:t>
      </w:r>
      <w:proofErr w:type="spellEnd"/>
    </w:p>
  </w:footnote>
  <w:footnote w:id="97">
    <w:p w14:paraId="790B1FF1" w14:textId="77777777" w:rsidR="0021096D" w:rsidRDefault="0021096D" w:rsidP="0021096D">
      <w:pPr>
        <w:pStyle w:val="FootnoteText"/>
      </w:pPr>
      <w:r>
        <w:rPr>
          <w:rStyle w:val="FootnoteReference"/>
        </w:rPr>
        <w:footnoteRef/>
      </w:r>
      <w:r>
        <w:t xml:space="preserve"> TY </w:t>
      </w:r>
      <w:proofErr w:type="spellStart"/>
      <w:r>
        <w:t>xic</w:t>
      </w:r>
      <w:proofErr w:type="spellEnd"/>
      <w:r>
        <w:t xml:space="preserve"> and PE4.14</w:t>
      </w:r>
    </w:p>
  </w:footnote>
  <w:footnote w:id="98">
    <w:p w14:paraId="3A5723A3" w14:textId="62822A49" w:rsidR="0021096D" w:rsidRDefault="0021096D">
      <w:pPr>
        <w:pStyle w:val="FootnoteText"/>
      </w:pPr>
      <w:r>
        <w:rPr>
          <w:rStyle w:val="FootnoteReference"/>
        </w:rPr>
        <w:footnoteRef/>
      </w:r>
      <w:r>
        <w:t xml:space="preserve"> TY </w:t>
      </w:r>
      <w:proofErr w:type="spellStart"/>
      <w:r>
        <w:t>xic</w:t>
      </w:r>
      <w:proofErr w:type="spellEnd"/>
    </w:p>
  </w:footnote>
  <w:footnote w:id="99">
    <w:p w14:paraId="246B44F2" w14:textId="1B730F3E" w:rsidR="001D45DB" w:rsidRDefault="001D45DB">
      <w:pPr>
        <w:pStyle w:val="FootnoteText"/>
      </w:pPr>
      <w:r>
        <w:rPr>
          <w:rStyle w:val="FootnoteReference"/>
        </w:rPr>
        <w:footnoteRef/>
      </w:r>
      <w:r>
        <w:t xml:space="preserve"> 3.3 PE KA</w:t>
      </w:r>
    </w:p>
  </w:footnote>
  <w:footnote w:id="100">
    <w:p w14:paraId="4883DB48" w14:textId="5735AC02" w:rsidR="001D45DB" w:rsidRDefault="001D45DB">
      <w:pPr>
        <w:pStyle w:val="FootnoteText"/>
      </w:pPr>
      <w:r>
        <w:rPr>
          <w:rStyle w:val="FootnoteReference"/>
        </w:rPr>
        <w:footnoteRef/>
      </w:r>
      <w:r>
        <w:t xml:space="preserve"> First letter March 2023, additional letters hand delivered on a regular basis thereafter – see 4.2 and 4.3 PE of KA</w:t>
      </w:r>
    </w:p>
  </w:footnote>
  <w:footnote w:id="101">
    <w:p w14:paraId="35D1083A" w14:textId="3FCD5899" w:rsidR="001D45DB" w:rsidRDefault="001D45DB">
      <w:pPr>
        <w:pStyle w:val="FootnoteText"/>
      </w:pPr>
      <w:r>
        <w:rPr>
          <w:rStyle w:val="FootnoteReference"/>
        </w:rPr>
        <w:footnoteRef/>
      </w:r>
      <w:r>
        <w:t xml:space="preserve"> 14</w:t>
      </w:r>
      <w:r w:rsidRPr="001D45DB">
        <w:rPr>
          <w:vertAlign w:val="superscript"/>
        </w:rPr>
        <w:t>th</w:t>
      </w:r>
      <w:r>
        <w:t xml:space="preserve"> March 2023: 4.2 – 4.3 PE of KA</w:t>
      </w:r>
    </w:p>
  </w:footnote>
  <w:footnote w:id="102">
    <w:p w14:paraId="3C4EA5E0" w14:textId="7C7388C5" w:rsidR="001D45DB" w:rsidRDefault="001D45DB">
      <w:pPr>
        <w:pStyle w:val="FootnoteText"/>
      </w:pPr>
      <w:r>
        <w:rPr>
          <w:rStyle w:val="FootnoteReference"/>
        </w:rPr>
        <w:footnoteRef/>
      </w:r>
      <w:r>
        <w:t xml:space="preserve"> 4.8 PE KA</w:t>
      </w:r>
    </w:p>
  </w:footnote>
  <w:footnote w:id="103">
    <w:p w14:paraId="7A4E40AF" w14:textId="5DFB64FE" w:rsidR="00594F05" w:rsidRDefault="00594F05">
      <w:pPr>
        <w:pStyle w:val="FootnoteText"/>
      </w:pPr>
      <w:r>
        <w:rPr>
          <w:rStyle w:val="FootnoteReference"/>
        </w:rPr>
        <w:footnoteRef/>
      </w:r>
      <w:r>
        <w:t xml:space="preserve"> Para 3.16 PE</w:t>
      </w:r>
    </w:p>
  </w:footnote>
  <w:footnote w:id="104">
    <w:p w14:paraId="15745256" w14:textId="1527FAB6" w:rsidR="00594F05" w:rsidRDefault="00594F05">
      <w:pPr>
        <w:pStyle w:val="FootnoteText"/>
      </w:pPr>
      <w:r>
        <w:rPr>
          <w:rStyle w:val="FootnoteReference"/>
        </w:rPr>
        <w:footnoteRef/>
      </w:r>
      <w:r>
        <w:t xml:space="preserve"> See para 3.19 PE</w:t>
      </w:r>
    </w:p>
  </w:footnote>
  <w:footnote w:id="105">
    <w:p w14:paraId="617ADFB6" w14:textId="3EABEEEE" w:rsidR="006D50A5" w:rsidRDefault="006D50A5">
      <w:pPr>
        <w:pStyle w:val="FootnoteText"/>
      </w:pPr>
      <w:r>
        <w:rPr>
          <w:rStyle w:val="FootnoteReference"/>
        </w:rPr>
        <w:footnoteRef/>
      </w:r>
      <w:r>
        <w:t xml:space="preserve"> Note: The Council did receive an unsolicited copy of a lease from 1986 from Mr. Whyte, another objector. However, both Mr. Marchant and the landlord both informed the Council that they did not have a copy of the lease, and that the most recent lease dated from 2020. Quite understandably, the Council was not </w:t>
      </w:r>
      <w:proofErr w:type="gramStart"/>
      <w:r>
        <w:t>in a position</w:t>
      </w:r>
      <w:proofErr w:type="gramEnd"/>
      <w:r>
        <w:t xml:space="preserve"> to verify or accept the lease produced by Mr. Whyte.</w:t>
      </w:r>
    </w:p>
  </w:footnote>
  <w:footnote w:id="106">
    <w:p w14:paraId="03B9D97B" w14:textId="6F94D0AB" w:rsidR="00855241" w:rsidRDefault="00855241">
      <w:pPr>
        <w:pStyle w:val="FootnoteText"/>
      </w:pPr>
      <w:r>
        <w:rPr>
          <w:rStyle w:val="FootnoteReference"/>
        </w:rPr>
        <w:footnoteRef/>
      </w:r>
      <w:r>
        <w:t xml:space="preserve"> See paragraph 2.2.1: Council response 29 October</w:t>
      </w:r>
      <w:r w:rsidR="00CE0492">
        <w:t xml:space="preserve"> and evidence TY </w:t>
      </w:r>
      <w:proofErr w:type="spellStart"/>
      <w:r w:rsidR="00CE0492">
        <w:t>xic</w:t>
      </w:r>
      <w:proofErr w:type="spellEnd"/>
    </w:p>
  </w:footnote>
  <w:footnote w:id="107">
    <w:p w14:paraId="13056145" w14:textId="34373C0E" w:rsidR="00855241" w:rsidRDefault="00855241">
      <w:pPr>
        <w:pStyle w:val="FootnoteText"/>
      </w:pPr>
      <w:r>
        <w:rPr>
          <w:rStyle w:val="FootnoteReference"/>
        </w:rPr>
        <w:footnoteRef/>
      </w:r>
      <w:r>
        <w:t xml:space="preserve"> TY </w:t>
      </w:r>
      <w:proofErr w:type="spellStart"/>
      <w:r>
        <w:t>xic</w:t>
      </w:r>
      <w:proofErr w:type="spellEnd"/>
    </w:p>
  </w:footnote>
  <w:footnote w:id="108">
    <w:p w14:paraId="0594B10E" w14:textId="1E132961" w:rsidR="00907F5B" w:rsidRDefault="00907F5B">
      <w:pPr>
        <w:pStyle w:val="FootnoteText"/>
      </w:pPr>
      <w:r>
        <w:rPr>
          <w:rStyle w:val="FootnoteReference"/>
        </w:rPr>
        <w:footnoteRef/>
      </w:r>
      <w:r>
        <w:t xml:space="preserve"> By way of </w:t>
      </w:r>
      <w:r w:rsidRPr="00907F5B">
        <w:rPr>
          <w:u w:val="single"/>
        </w:rPr>
        <w:t>example</w:t>
      </w:r>
      <w:r>
        <w:t xml:space="preserve"> arising from the documentation before the inquiry see (</w:t>
      </w:r>
      <w:proofErr w:type="spellStart"/>
      <w:r>
        <w:t>i</w:t>
      </w:r>
      <w:proofErr w:type="spellEnd"/>
      <w:r>
        <w:t>) Town Deal Business Case November 2021 Section 6.5 and table 6.1 notes the Council’s obligation to comply with the PSED (CD G2, p1503 – 4) (ii) LUF Fund Application July 2022 (NG Appendix 18 p1361); (iii) Report to Planning Committee (CD C1.6 p886); Reference to Equality Analysis screening process being undertaken as part of the business case for the CPO (NG Appendix 14, p1259).</w:t>
      </w:r>
    </w:p>
  </w:footnote>
  <w:footnote w:id="109">
    <w:p w14:paraId="32C5DE65" w14:textId="77777777" w:rsidR="00554655" w:rsidRDefault="00554655" w:rsidP="00554655">
      <w:pPr>
        <w:pStyle w:val="FootnoteText"/>
      </w:pPr>
      <w:r>
        <w:rPr>
          <w:rStyle w:val="FootnoteReference"/>
        </w:rPr>
        <w:footnoteRef/>
      </w:r>
      <w:r>
        <w:t xml:space="preserve"> NG Appendix 14 p1259 at para 1.1 - 4</w:t>
      </w:r>
    </w:p>
  </w:footnote>
  <w:footnote w:id="110">
    <w:p w14:paraId="567018B6" w14:textId="339D9AFD" w:rsidR="00907F5B" w:rsidRDefault="00907F5B">
      <w:pPr>
        <w:pStyle w:val="FootnoteText"/>
      </w:pPr>
      <w:r>
        <w:rPr>
          <w:rStyle w:val="FootnoteReference"/>
        </w:rPr>
        <w:footnoteRef/>
      </w:r>
      <w:r>
        <w:t xml:space="preserve"> R (</w:t>
      </w:r>
      <w:proofErr w:type="spellStart"/>
      <w:r>
        <w:t>Sheakh</w:t>
      </w:r>
      <w:proofErr w:type="spellEnd"/>
      <w:r>
        <w:t>) v Lambeth BC [2022] PTSR 1315 at paragraph 10</w:t>
      </w:r>
    </w:p>
  </w:footnote>
  <w:footnote w:id="111">
    <w:p w14:paraId="6CCFADF6" w14:textId="77D7271F" w:rsidR="00907F5B" w:rsidRDefault="00907F5B">
      <w:pPr>
        <w:pStyle w:val="FootnoteText"/>
      </w:pPr>
      <w:r>
        <w:rPr>
          <w:rStyle w:val="FootnoteReference"/>
        </w:rPr>
        <w:footnoteRef/>
      </w:r>
      <w:r>
        <w:t xml:space="preserve"> KA Appendix I, p29</w:t>
      </w:r>
    </w:p>
  </w:footnote>
  <w:footnote w:id="112">
    <w:p w14:paraId="65EB5915" w14:textId="37534E62" w:rsidR="00907F5B" w:rsidRDefault="00907F5B" w:rsidP="00907F5B">
      <w:pPr>
        <w:pStyle w:val="FootnoteText"/>
      </w:pPr>
      <w:r>
        <w:rPr>
          <w:rStyle w:val="FootnoteReference"/>
        </w:rPr>
        <w:footnoteRef/>
      </w:r>
      <w:r>
        <w:t xml:space="preserve"> See Appendix 14, Report 16</w:t>
      </w:r>
      <w:r w:rsidRPr="0031254C">
        <w:rPr>
          <w:vertAlign w:val="superscript"/>
        </w:rPr>
        <w:t>th</w:t>
      </w:r>
      <w:r>
        <w:t xml:space="preserve"> October – which specifically addresses the same, in compliance CPO Guidance paragraph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25"/>
    <w:multiLevelType w:val="hybridMultilevel"/>
    <w:tmpl w:val="E83621AE"/>
    <w:lvl w:ilvl="0" w:tplc="303027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D55015"/>
    <w:multiLevelType w:val="hybridMultilevel"/>
    <w:tmpl w:val="0AD4E51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82DB1"/>
    <w:multiLevelType w:val="hybridMultilevel"/>
    <w:tmpl w:val="D3C6E730"/>
    <w:lvl w:ilvl="0" w:tplc="0B9A68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B752C6"/>
    <w:multiLevelType w:val="hybridMultilevel"/>
    <w:tmpl w:val="5366ED9A"/>
    <w:lvl w:ilvl="0" w:tplc="D68A2E86">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CAB3ACC"/>
    <w:multiLevelType w:val="hybridMultilevel"/>
    <w:tmpl w:val="B7B40528"/>
    <w:lvl w:ilvl="0" w:tplc="5F92DF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54A8F"/>
    <w:multiLevelType w:val="hybridMultilevel"/>
    <w:tmpl w:val="11E86D1A"/>
    <w:lvl w:ilvl="0" w:tplc="4FE2FC64">
      <w:start w:val="12"/>
      <w:numFmt w:val="bullet"/>
      <w:lvlText w:val="-"/>
      <w:lvlJc w:val="left"/>
      <w:pPr>
        <w:ind w:left="2160" w:hanging="360"/>
      </w:pPr>
      <w:rPr>
        <w:rFonts w:ascii="Aptos" w:eastAsiaTheme="minorHAnsi" w:hAnsi="Aptos"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BCA4372"/>
    <w:multiLevelType w:val="hybridMultilevel"/>
    <w:tmpl w:val="F9003B10"/>
    <w:lvl w:ilvl="0" w:tplc="421A2970">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CC793A"/>
    <w:multiLevelType w:val="hybridMultilevel"/>
    <w:tmpl w:val="6AFA6F22"/>
    <w:lvl w:ilvl="0" w:tplc="984869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F6449B"/>
    <w:multiLevelType w:val="hybridMultilevel"/>
    <w:tmpl w:val="0AD4E51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86810"/>
    <w:multiLevelType w:val="hybridMultilevel"/>
    <w:tmpl w:val="0AD4E518"/>
    <w:lvl w:ilvl="0" w:tplc="58C8619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5159A"/>
    <w:multiLevelType w:val="hybridMultilevel"/>
    <w:tmpl w:val="BF940D84"/>
    <w:lvl w:ilvl="0" w:tplc="F2AEA7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E94B44"/>
    <w:multiLevelType w:val="hybridMultilevel"/>
    <w:tmpl w:val="BCCA1630"/>
    <w:lvl w:ilvl="0" w:tplc="75D2673A">
      <w:start w:val="82"/>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FBF0C08"/>
    <w:multiLevelType w:val="hybridMultilevel"/>
    <w:tmpl w:val="0AD4E51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EE3523"/>
    <w:multiLevelType w:val="hybridMultilevel"/>
    <w:tmpl w:val="0AD4E51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364948"/>
    <w:multiLevelType w:val="hybridMultilevel"/>
    <w:tmpl w:val="A41A029A"/>
    <w:lvl w:ilvl="0" w:tplc="A4AE23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A26126F"/>
    <w:multiLevelType w:val="hybridMultilevel"/>
    <w:tmpl w:val="CBB69C76"/>
    <w:lvl w:ilvl="0" w:tplc="3370A1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BE90FA6"/>
    <w:multiLevelType w:val="hybridMultilevel"/>
    <w:tmpl w:val="7CA2E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B8139A"/>
    <w:multiLevelType w:val="hybridMultilevel"/>
    <w:tmpl w:val="C130D848"/>
    <w:lvl w:ilvl="0" w:tplc="4E801C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1026B2"/>
    <w:multiLevelType w:val="hybridMultilevel"/>
    <w:tmpl w:val="C282905C"/>
    <w:lvl w:ilvl="0" w:tplc="48ECDA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2033A5"/>
    <w:multiLevelType w:val="hybridMultilevel"/>
    <w:tmpl w:val="4CC20B9A"/>
    <w:lvl w:ilvl="0" w:tplc="0154726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68991848">
    <w:abstractNumId w:val="9"/>
  </w:num>
  <w:num w:numId="2" w16cid:durableId="975331815">
    <w:abstractNumId w:val="7"/>
  </w:num>
  <w:num w:numId="3" w16cid:durableId="260721131">
    <w:abstractNumId w:val="6"/>
  </w:num>
  <w:num w:numId="4" w16cid:durableId="906115107">
    <w:abstractNumId w:val="2"/>
  </w:num>
  <w:num w:numId="5" w16cid:durableId="1319072678">
    <w:abstractNumId w:val="18"/>
  </w:num>
  <w:num w:numId="6" w16cid:durableId="1175539744">
    <w:abstractNumId w:val="16"/>
  </w:num>
  <w:num w:numId="7" w16cid:durableId="1488130562">
    <w:abstractNumId w:val="19"/>
  </w:num>
  <w:num w:numId="8" w16cid:durableId="1381174508">
    <w:abstractNumId w:val="5"/>
  </w:num>
  <w:num w:numId="9" w16cid:durableId="726731156">
    <w:abstractNumId w:val="14"/>
  </w:num>
  <w:num w:numId="10" w16cid:durableId="1988702518">
    <w:abstractNumId w:val="17"/>
  </w:num>
  <w:num w:numId="11" w16cid:durableId="1883010632">
    <w:abstractNumId w:val="4"/>
  </w:num>
  <w:num w:numId="12" w16cid:durableId="236211235">
    <w:abstractNumId w:val="11"/>
  </w:num>
  <w:num w:numId="13" w16cid:durableId="1721201876">
    <w:abstractNumId w:val="3"/>
  </w:num>
  <w:num w:numId="14" w16cid:durableId="1024938180">
    <w:abstractNumId w:val="15"/>
  </w:num>
  <w:num w:numId="15" w16cid:durableId="1800024409">
    <w:abstractNumId w:val="8"/>
  </w:num>
  <w:num w:numId="16" w16cid:durableId="2085101299">
    <w:abstractNumId w:val="12"/>
  </w:num>
  <w:num w:numId="17" w16cid:durableId="1287202155">
    <w:abstractNumId w:val="10"/>
  </w:num>
  <w:num w:numId="18" w16cid:durableId="341251059">
    <w:abstractNumId w:val="1"/>
  </w:num>
  <w:num w:numId="19" w16cid:durableId="852376943">
    <w:abstractNumId w:val="13"/>
  </w:num>
  <w:num w:numId="20" w16cid:durableId="82138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67"/>
    <w:rsid w:val="00013C17"/>
    <w:rsid w:val="00022928"/>
    <w:rsid w:val="00036E1F"/>
    <w:rsid w:val="00070FB0"/>
    <w:rsid w:val="00072760"/>
    <w:rsid w:val="0007427B"/>
    <w:rsid w:val="00080545"/>
    <w:rsid w:val="000B4ECD"/>
    <w:rsid w:val="000F747F"/>
    <w:rsid w:val="00126201"/>
    <w:rsid w:val="0013577A"/>
    <w:rsid w:val="00147617"/>
    <w:rsid w:val="00163D0E"/>
    <w:rsid w:val="00181E8A"/>
    <w:rsid w:val="00183AC1"/>
    <w:rsid w:val="001C02D1"/>
    <w:rsid w:val="001D45DB"/>
    <w:rsid w:val="001F69DE"/>
    <w:rsid w:val="001F780D"/>
    <w:rsid w:val="0021096D"/>
    <w:rsid w:val="00216458"/>
    <w:rsid w:val="00227556"/>
    <w:rsid w:val="00237245"/>
    <w:rsid w:val="00253FCD"/>
    <w:rsid w:val="00257363"/>
    <w:rsid w:val="00263916"/>
    <w:rsid w:val="002664BE"/>
    <w:rsid w:val="00293EE5"/>
    <w:rsid w:val="002C5712"/>
    <w:rsid w:val="002D3B78"/>
    <w:rsid w:val="00361BCA"/>
    <w:rsid w:val="00371C56"/>
    <w:rsid w:val="00384AFD"/>
    <w:rsid w:val="003A5E5E"/>
    <w:rsid w:val="00446961"/>
    <w:rsid w:val="004F6F6A"/>
    <w:rsid w:val="005349D3"/>
    <w:rsid w:val="00545831"/>
    <w:rsid w:val="00554110"/>
    <w:rsid w:val="00554655"/>
    <w:rsid w:val="005812AB"/>
    <w:rsid w:val="00594F05"/>
    <w:rsid w:val="00595079"/>
    <w:rsid w:val="005E6384"/>
    <w:rsid w:val="005F7129"/>
    <w:rsid w:val="00624E98"/>
    <w:rsid w:val="00664D67"/>
    <w:rsid w:val="006B73F5"/>
    <w:rsid w:val="006D50A5"/>
    <w:rsid w:val="007302B4"/>
    <w:rsid w:val="00732856"/>
    <w:rsid w:val="00736BC3"/>
    <w:rsid w:val="007615C7"/>
    <w:rsid w:val="0076180C"/>
    <w:rsid w:val="007B4929"/>
    <w:rsid w:val="007F14F6"/>
    <w:rsid w:val="00855241"/>
    <w:rsid w:val="00857104"/>
    <w:rsid w:val="00874709"/>
    <w:rsid w:val="008A3576"/>
    <w:rsid w:val="008E36D8"/>
    <w:rsid w:val="009034E3"/>
    <w:rsid w:val="00907F5B"/>
    <w:rsid w:val="0091277B"/>
    <w:rsid w:val="00936AAB"/>
    <w:rsid w:val="00991589"/>
    <w:rsid w:val="009B3040"/>
    <w:rsid w:val="009B4716"/>
    <w:rsid w:val="009C7BBC"/>
    <w:rsid w:val="00A22EC5"/>
    <w:rsid w:val="00A30691"/>
    <w:rsid w:val="00A378DD"/>
    <w:rsid w:val="00A50D0A"/>
    <w:rsid w:val="00A71E0C"/>
    <w:rsid w:val="00A9348F"/>
    <w:rsid w:val="00B03CA4"/>
    <w:rsid w:val="00B25E42"/>
    <w:rsid w:val="00B44505"/>
    <w:rsid w:val="00B46C31"/>
    <w:rsid w:val="00B541C5"/>
    <w:rsid w:val="00B6374C"/>
    <w:rsid w:val="00B84236"/>
    <w:rsid w:val="00BC3A67"/>
    <w:rsid w:val="00C3710A"/>
    <w:rsid w:val="00C65FB8"/>
    <w:rsid w:val="00C816DC"/>
    <w:rsid w:val="00CE0492"/>
    <w:rsid w:val="00CE11AF"/>
    <w:rsid w:val="00D0447A"/>
    <w:rsid w:val="00D77B97"/>
    <w:rsid w:val="00D91DE2"/>
    <w:rsid w:val="00D93D8C"/>
    <w:rsid w:val="00DD1BA7"/>
    <w:rsid w:val="00DD3256"/>
    <w:rsid w:val="00DD7946"/>
    <w:rsid w:val="00DF087A"/>
    <w:rsid w:val="00E15C40"/>
    <w:rsid w:val="00E31A23"/>
    <w:rsid w:val="00E47E53"/>
    <w:rsid w:val="00E564B8"/>
    <w:rsid w:val="00E93EA2"/>
    <w:rsid w:val="00E9787B"/>
    <w:rsid w:val="00EB5AB7"/>
    <w:rsid w:val="00EE01DE"/>
    <w:rsid w:val="00EF5932"/>
    <w:rsid w:val="00F0148C"/>
    <w:rsid w:val="00FB2DB1"/>
    <w:rsid w:val="00FC2C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642D"/>
  <w15:chartTrackingRefBased/>
  <w15:docId w15:val="{43009D35-EBFA-6C47-87B0-28BC284E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67"/>
  </w:style>
  <w:style w:type="paragraph" w:styleId="Heading1">
    <w:name w:val="heading 1"/>
    <w:basedOn w:val="Normal"/>
    <w:next w:val="Normal"/>
    <w:link w:val="Heading1Char"/>
    <w:uiPriority w:val="9"/>
    <w:qFormat/>
    <w:rsid w:val="00BC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A67"/>
    <w:rPr>
      <w:rFonts w:eastAsiaTheme="majorEastAsia" w:cstheme="majorBidi"/>
      <w:color w:val="272727" w:themeColor="text1" w:themeTint="D8"/>
    </w:rPr>
  </w:style>
  <w:style w:type="paragraph" w:styleId="Title">
    <w:name w:val="Title"/>
    <w:basedOn w:val="Normal"/>
    <w:next w:val="Normal"/>
    <w:link w:val="TitleChar"/>
    <w:uiPriority w:val="10"/>
    <w:qFormat/>
    <w:rsid w:val="00BC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A67"/>
    <w:pPr>
      <w:spacing w:before="160"/>
      <w:jc w:val="center"/>
    </w:pPr>
    <w:rPr>
      <w:i/>
      <w:iCs/>
      <w:color w:val="404040" w:themeColor="text1" w:themeTint="BF"/>
    </w:rPr>
  </w:style>
  <w:style w:type="character" w:customStyle="1" w:styleId="QuoteChar">
    <w:name w:val="Quote Char"/>
    <w:basedOn w:val="DefaultParagraphFont"/>
    <w:link w:val="Quote"/>
    <w:uiPriority w:val="29"/>
    <w:rsid w:val="00BC3A67"/>
    <w:rPr>
      <w:i/>
      <w:iCs/>
      <w:color w:val="404040" w:themeColor="text1" w:themeTint="BF"/>
    </w:rPr>
  </w:style>
  <w:style w:type="paragraph" w:styleId="ListParagraph">
    <w:name w:val="List Paragraph"/>
    <w:basedOn w:val="Normal"/>
    <w:uiPriority w:val="34"/>
    <w:qFormat/>
    <w:rsid w:val="00BC3A67"/>
    <w:pPr>
      <w:ind w:left="720"/>
      <w:contextualSpacing/>
    </w:pPr>
  </w:style>
  <w:style w:type="character" w:styleId="IntenseEmphasis">
    <w:name w:val="Intense Emphasis"/>
    <w:basedOn w:val="DefaultParagraphFont"/>
    <w:uiPriority w:val="21"/>
    <w:qFormat/>
    <w:rsid w:val="00BC3A67"/>
    <w:rPr>
      <w:i/>
      <w:iCs/>
      <w:color w:val="0F4761" w:themeColor="accent1" w:themeShade="BF"/>
    </w:rPr>
  </w:style>
  <w:style w:type="paragraph" w:styleId="IntenseQuote">
    <w:name w:val="Intense Quote"/>
    <w:basedOn w:val="Normal"/>
    <w:next w:val="Normal"/>
    <w:link w:val="IntenseQuoteChar"/>
    <w:uiPriority w:val="30"/>
    <w:qFormat/>
    <w:rsid w:val="00BC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A67"/>
    <w:rPr>
      <w:i/>
      <w:iCs/>
      <w:color w:val="0F4761" w:themeColor="accent1" w:themeShade="BF"/>
    </w:rPr>
  </w:style>
  <w:style w:type="character" w:styleId="IntenseReference">
    <w:name w:val="Intense Reference"/>
    <w:basedOn w:val="DefaultParagraphFont"/>
    <w:uiPriority w:val="32"/>
    <w:qFormat/>
    <w:rsid w:val="00BC3A67"/>
    <w:rPr>
      <w:b/>
      <w:bCs/>
      <w:smallCaps/>
      <w:color w:val="0F4761" w:themeColor="accent1" w:themeShade="BF"/>
      <w:spacing w:val="5"/>
    </w:rPr>
  </w:style>
  <w:style w:type="paragraph" w:styleId="FootnoteText">
    <w:name w:val="footnote text"/>
    <w:basedOn w:val="Normal"/>
    <w:link w:val="FootnoteTextChar"/>
    <w:uiPriority w:val="99"/>
    <w:semiHidden/>
    <w:unhideWhenUsed/>
    <w:rsid w:val="00BC3A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3A67"/>
    <w:rPr>
      <w:sz w:val="20"/>
      <w:szCs w:val="20"/>
    </w:rPr>
  </w:style>
  <w:style w:type="character" w:styleId="FootnoteReference">
    <w:name w:val="footnote reference"/>
    <w:basedOn w:val="DefaultParagraphFont"/>
    <w:uiPriority w:val="99"/>
    <w:semiHidden/>
    <w:unhideWhenUsed/>
    <w:rsid w:val="00BC3A67"/>
    <w:rPr>
      <w:vertAlign w:val="superscript"/>
    </w:rPr>
  </w:style>
  <w:style w:type="paragraph" w:styleId="Footer">
    <w:name w:val="footer"/>
    <w:basedOn w:val="Normal"/>
    <w:link w:val="FooterChar"/>
    <w:uiPriority w:val="99"/>
    <w:unhideWhenUsed/>
    <w:rsid w:val="00036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E1F"/>
  </w:style>
  <w:style w:type="character" w:styleId="PageNumber">
    <w:name w:val="page number"/>
    <w:basedOn w:val="DefaultParagraphFont"/>
    <w:uiPriority w:val="99"/>
    <w:semiHidden/>
    <w:unhideWhenUsed/>
    <w:rsid w:val="00036E1F"/>
  </w:style>
  <w:style w:type="paragraph" w:styleId="Header">
    <w:name w:val="header"/>
    <w:basedOn w:val="Normal"/>
    <w:link w:val="HeaderChar"/>
    <w:uiPriority w:val="99"/>
    <w:unhideWhenUsed/>
    <w:rsid w:val="00EF5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932"/>
  </w:style>
  <w:style w:type="paragraph" w:styleId="Revision">
    <w:name w:val="Revision"/>
    <w:hidden/>
    <w:uiPriority w:val="99"/>
    <w:semiHidden/>
    <w:rsid w:val="00EF5932"/>
    <w:pPr>
      <w:spacing w:after="0" w:line="240" w:lineRule="auto"/>
    </w:pPr>
  </w:style>
  <w:style w:type="paragraph" w:styleId="BalloonText">
    <w:name w:val="Balloon Text"/>
    <w:basedOn w:val="Normal"/>
    <w:link w:val="BalloonTextChar"/>
    <w:uiPriority w:val="99"/>
    <w:semiHidden/>
    <w:unhideWhenUsed/>
    <w:rsid w:val="009C7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BBC"/>
    <w:rPr>
      <w:rFonts w:ascii="Segoe UI" w:hAnsi="Segoe UI" w:cs="Segoe UI"/>
      <w:sz w:val="18"/>
      <w:szCs w:val="18"/>
    </w:rPr>
  </w:style>
  <w:style w:type="character" w:styleId="CommentReference">
    <w:name w:val="annotation reference"/>
    <w:basedOn w:val="DefaultParagraphFont"/>
    <w:uiPriority w:val="99"/>
    <w:semiHidden/>
    <w:unhideWhenUsed/>
    <w:rsid w:val="00FB2DB1"/>
    <w:rPr>
      <w:sz w:val="16"/>
      <w:szCs w:val="16"/>
    </w:rPr>
  </w:style>
  <w:style w:type="paragraph" w:styleId="CommentText">
    <w:name w:val="annotation text"/>
    <w:basedOn w:val="Normal"/>
    <w:link w:val="CommentTextChar"/>
    <w:uiPriority w:val="99"/>
    <w:unhideWhenUsed/>
    <w:rsid w:val="00FB2DB1"/>
    <w:pPr>
      <w:spacing w:line="240" w:lineRule="auto"/>
    </w:pPr>
    <w:rPr>
      <w:sz w:val="20"/>
      <w:szCs w:val="20"/>
    </w:rPr>
  </w:style>
  <w:style w:type="character" w:customStyle="1" w:styleId="CommentTextChar">
    <w:name w:val="Comment Text Char"/>
    <w:basedOn w:val="DefaultParagraphFont"/>
    <w:link w:val="CommentText"/>
    <w:uiPriority w:val="99"/>
    <w:rsid w:val="00FB2DB1"/>
    <w:rPr>
      <w:sz w:val="20"/>
      <w:szCs w:val="20"/>
    </w:rPr>
  </w:style>
  <w:style w:type="paragraph" w:styleId="CommentSubject">
    <w:name w:val="annotation subject"/>
    <w:basedOn w:val="CommentText"/>
    <w:next w:val="CommentText"/>
    <w:link w:val="CommentSubjectChar"/>
    <w:uiPriority w:val="99"/>
    <w:semiHidden/>
    <w:unhideWhenUsed/>
    <w:rsid w:val="00FB2DB1"/>
    <w:rPr>
      <w:b/>
      <w:bCs/>
    </w:rPr>
  </w:style>
  <w:style w:type="character" w:customStyle="1" w:styleId="CommentSubjectChar">
    <w:name w:val="Comment Subject Char"/>
    <w:basedOn w:val="CommentTextChar"/>
    <w:link w:val="CommentSubject"/>
    <w:uiPriority w:val="99"/>
    <w:semiHidden/>
    <w:rsid w:val="00FB2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119343">
      <w:bodyDiv w:val="1"/>
      <w:marLeft w:val="0"/>
      <w:marRight w:val="0"/>
      <w:marTop w:val="0"/>
      <w:marBottom w:val="0"/>
      <w:divBdr>
        <w:top w:val="none" w:sz="0" w:space="0" w:color="auto"/>
        <w:left w:val="none" w:sz="0" w:space="0" w:color="auto"/>
        <w:bottom w:val="none" w:sz="0" w:space="0" w:color="auto"/>
        <w:right w:val="none" w:sz="0" w:space="0" w:color="auto"/>
      </w:divBdr>
    </w:div>
    <w:div w:id="16283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E21D856C6A849A94EF81BED5BAC04" ma:contentTypeVersion="18" ma:contentTypeDescription="Create a new document." ma:contentTypeScope="" ma:versionID="e1cedab768028bdbc4ceabeb479f4047">
  <xsd:schema xmlns:xsd="http://www.w3.org/2001/XMLSchema" xmlns:xs="http://www.w3.org/2001/XMLSchema" xmlns:p="http://schemas.microsoft.com/office/2006/metadata/properties" xmlns:ns3="9e0c1831-d44c-4dd3-ae15-cceacf853db9" xmlns:ns4="74f4eab0-1c9f-4c6a-8b6d-fbf9f494024e" targetNamespace="http://schemas.microsoft.com/office/2006/metadata/properties" ma:root="true" ma:fieldsID="49acfeb6fe24cd690447b1bb262d387b" ns3:_="" ns4:_="">
    <xsd:import namespace="9e0c1831-d44c-4dd3-ae15-cceacf853db9"/>
    <xsd:import namespace="74f4eab0-1c9f-4c6a-8b6d-fbf9f49402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c1831-d44c-4dd3-ae15-cceacf853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f4eab0-1c9f-4c6a-8b6d-fbf9f49402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e0c1831-d44c-4dd3-ae15-cceacf853db9" xsi:nil="true"/>
  </documentManagement>
</p:properties>
</file>

<file path=customXml/itemProps1.xml><?xml version="1.0" encoding="utf-8"?>
<ds:datastoreItem xmlns:ds="http://schemas.openxmlformats.org/officeDocument/2006/customXml" ds:itemID="{8F088E4D-C9DF-4099-BDC2-AB4F82D74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c1831-d44c-4dd3-ae15-cceacf853db9"/>
    <ds:schemaRef ds:uri="74f4eab0-1c9f-4c6a-8b6d-fbf9f4940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AB3C8-86DF-44AE-9C96-ECF259C4A971}">
  <ds:schemaRefs>
    <ds:schemaRef ds:uri="http://schemas.microsoft.com/sharepoint/v3/contenttype/forms"/>
  </ds:schemaRefs>
</ds:datastoreItem>
</file>

<file path=customXml/itemProps3.xml><?xml version="1.0" encoding="utf-8"?>
<ds:datastoreItem xmlns:ds="http://schemas.openxmlformats.org/officeDocument/2006/customXml" ds:itemID="{5EBD4C70-A2EE-46C9-AA4D-07C8FA978FE4}">
  <ds:schemaRefs>
    <ds:schemaRef ds:uri="http://schemas.openxmlformats.org/officeDocument/2006/bibliography"/>
  </ds:schemaRefs>
</ds:datastoreItem>
</file>

<file path=customXml/itemProps4.xml><?xml version="1.0" encoding="utf-8"?>
<ds:datastoreItem xmlns:ds="http://schemas.openxmlformats.org/officeDocument/2006/customXml" ds:itemID="{96CEF775-0F67-4EBC-9C05-BB5533E8786F}">
  <ds:schemaRefs>
    <ds:schemaRef ds:uri="http://schemas.microsoft.com/office/2006/metadata/properties"/>
    <ds:schemaRef ds:uri="http://schemas.microsoft.com/office/infopath/2007/PartnerControls"/>
    <ds:schemaRef ds:uri="9e0c1831-d44c-4dd3-ae15-cceacf853db9"/>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39</Pages>
  <Words>11414</Words>
  <Characters>65062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AA-INQ-11 FINAL Closing Submissions on behalf of Blackpool BC</dc:title>
  <dc:subject>
  </dc:subject>
  <dc:creator>Sarah Reid KC</dc:creator>
  <cp:keywords>
  </cp:keywords>
  <dc:description>
  </dc:description>
  <cp:lastModifiedBy>Ian Butterworth</cp:lastModifiedBy>
  <cp:revision>6</cp:revision>
  <cp:lastPrinted>2024-11-29T15:59:00Z</cp:lastPrinted>
  <dcterms:created xsi:type="dcterms:W3CDTF">2024-12-04T09:47:00Z</dcterms:created>
  <dcterms:modified xsi:type="dcterms:W3CDTF">2024-12-04T13:13:47Z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0x010100CD8E21D856C6A849A94EF81BED5BAC04</vt:lpwstr>
  </property>
</Properties>
</file>